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outlineLvl w:val="0"/>
        <w:rPr>
          <w:rFonts w:ascii="宋体" w:hAnsi="宋体" w:eastAsia="宋体" w:cs="宋体"/>
          <w:sz w:val="21"/>
          <w:szCs w:val="21"/>
          <w:lang w:val="en-US"/>
        </w:rPr>
      </w:pPr>
      <w:r>
        <w:rPr>
          <w:rFonts w:hint="eastAsia" w:ascii="宋体" w:hAnsi="宋体" w:eastAsia="宋体" w:cs="宋体"/>
          <w:sz w:val="21"/>
          <w:szCs w:val="21"/>
          <w:lang w:val="en-US"/>
        </w:rPr>
        <w:t>硬件设备货物需求一栏：</w:t>
      </w:r>
    </w:p>
    <w:tbl>
      <w:tblPr>
        <w:tblStyle w:val="3"/>
        <w:tblW w:w="72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5"/>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0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color w:val="000000"/>
                <w:sz w:val="24"/>
              </w:rPr>
            </w:pPr>
            <w:r>
              <w:rPr>
                <w:rFonts w:hint="eastAsia" w:ascii="仿宋" w:hAnsi="仿宋" w:eastAsia="仿宋"/>
                <w:b/>
                <w:color w:val="000000"/>
                <w:sz w:val="24"/>
              </w:rPr>
              <w:t>名称</w:t>
            </w: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color w:val="000000"/>
                <w:sz w:val="24"/>
              </w:rPr>
            </w:pPr>
            <w:r>
              <w:rPr>
                <w:rFonts w:ascii="仿宋" w:hAnsi="仿宋" w:eastAsia="仿宋"/>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075"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b/>
                <w:color w:val="000000"/>
                <w:sz w:val="24"/>
              </w:rPr>
            </w:pPr>
            <w:r>
              <w:rPr>
                <w:rFonts w:hint="eastAsia" w:ascii="仿宋" w:hAnsi="仿宋" w:eastAsia="仿宋"/>
                <w:b/>
                <w:color w:val="000000"/>
                <w:sz w:val="24"/>
              </w:rPr>
              <w:t>智能触控中控展示屏</w:t>
            </w:r>
          </w:p>
        </w:tc>
        <w:tc>
          <w:tcPr>
            <w:tcW w:w="21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1</w:t>
            </w:r>
          </w:p>
        </w:tc>
      </w:tr>
    </w:tbl>
    <w:p/>
    <w:p>
      <w:pPr>
        <w:pStyle w:val="2"/>
        <w:numPr>
          <w:ilvl w:val="0"/>
          <w:numId w:val="1"/>
        </w:numPr>
        <w:rPr>
          <w:rFonts w:eastAsiaTheme="minorEastAsia"/>
          <w:lang w:val="en-US"/>
        </w:rPr>
      </w:pPr>
      <w:r>
        <w:rPr>
          <w:rFonts w:hint="eastAsia" w:ascii="宋体" w:hAnsi="宋体" w:eastAsia="宋体" w:cs="宋体"/>
          <w:sz w:val="21"/>
          <w:szCs w:val="21"/>
          <w:lang w:val="en-US"/>
        </w:rPr>
        <w:t>硬件参数需求</w:t>
      </w:r>
    </w:p>
    <w:tbl>
      <w:tblPr>
        <w:tblStyle w:val="4"/>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2199"/>
        <w:gridCol w:w="5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81" w:type="dxa"/>
            <w:gridSpan w:val="3"/>
            <w:vAlign w:val="center"/>
          </w:tcPr>
          <w:p>
            <w:pPr>
              <w:spacing w:line="360" w:lineRule="auto"/>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智能触控</w:t>
            </w:r>
            <w:r>
              <w:rPr>
                <w:rFonts w:hint="eastAsia" w:ascii="宋体" w:hAnsi="宋体"/>
                <w:b/>
                <w:color w:val="000000" w:themeColor="text1"/>
                <w:sz w:val="24"/>
                <w14:textFill>
                  <w14:solidFill>
                    <w14:schemeClr w14:val="tx1"/>
                  </w14:solidFill>
                </w14:textFill>
              </w:rPr>
              <w:t>中控展示屏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序号</w:t>
            </w:r>
          </w:p>
        </w:tc>
        <w:tc>
          <w:tcPr>
            <w:tcW w:w="2199" w:type="dxa"/>
            <w:vAlign w:val="center"/>
          </w:tcPr>
          <w:p>
            <w:pPr>
              <w:spacing w:line="360" w:lineRule="auto"/>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指标项</w:t>
            </w:r>
          </w:p>
        </w:tc>
        <w:tc>
          <w:tcPr>
            <w:tcW w:w="5771" w:type="dxa"/>
            <w:vAlign w:val="center"/>
          </w:tcPr>
          <w:p>
            <w:pPr>
              <w:spacing w:line="360" w:lineRule="auto"/>
              <w:jc w:val="cente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eastAsia"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w:t>
            </w:r>
          </w:p>
        </w:tc>
        <w:tc>
          <w:tcPr>
            <w:tcW w:w="2199" w:type="dxa"/>
            <w:vAlign w:val="center"/>
          </w:tcPr>
          <w:p>
            <w:pPr>
              <w:spacing w:line="360" w:lineRule="auto"/>
              <w:jc w:val="center"/>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总体要求</w:t>
            </w:r>
          </w:p>
        </w:tc>
        <w:tc>
          <w:tcPr>
            <w:tcW w:w="5771" w:type="dxa"/>
            <w:vAlign w:val="center"/>
          </w:tcPr>
          <w:p>
            <w:pPr>
              <w:pStyle w:val="6"/>
              <w:numPr>
                <w:ilvl w:val="-1"/>
                <w:numId w:val="0"/>
              </w:numPr>
              <w:ind w:left="0" w:leftChars="0" w:firstLine="0" w:firstLineChars="0"/>
              <w:jc w:val="left"/>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eastAsia="宋体" w:cs="宋体"/>
                <w:color w:val="000000"/>
                <w:kern w:val="2"/>
                <w:sz w:val="24"/>
                <w:szCs w:val="24"/>
                <w:lang w:val="en-US" w:eastAsia="zh-CN" w:bidi="ar-SA"/>
              </w:rPr>
              <w:t>要求产品采用一体化设计配套移动支架，具备内置摄像头、麦克风、扬声器、智能书写、红外触摸显示器，铝合金机身，</w:t>
            </w:r>
            <w:r>
              <w:rPr>
                <w:rFonts w:hint="default" w:ascii="宋体" w:hAnsi="宋体" w:eastAsia="宋体" w:cs="宋体"/>
                <w:color w:val="000000"/>
                <w:kern w:val="2"/>
                <w:sz w:val="24"/>
                <w:szCs w:val="24"/>
                <w:lang w:val="en-US" w:eastAsia="zh-CN" w:bidi="ar-SA"/>
              </w:rPr>
              <w:t>显示屏尺寸不低于</w:t>
            </w:r>
            <w:r>
              <w:rPr>
                <w:rFonts w:hint="eastAsia" w:ascii="宋体" w:hAnsi="宋体" w:eastAsia="宋体" w:cs="宋体"/>
                <w:color w:val="000000"/>
                <w:kern w:val="2"/>
                <w:sz w:val="24"/>
                <w:szCs w:val="24"/>
                <w:lang w:val="en-US" w:eastAsia="zh-CN" w:bidi="ar-SA"/>
              </w:rPr>
              <w:t>80</w:t>
            </w:r>
            <w:r>
              <w:rPr>
                <w:rFonts w:hint="default" w:ascii="宋体" w:hAnsi="宋体" w:eastAsia="宋体" w:cs="宋体"/>
                <w:color w:val="000000"/>
                <w:kern w:val="2"/>
                <w:sz w:val="24"/>
                <w:szCs w:val="24"/>
                <w:lang w:val="en-US" w:eastAsia="zh-CN" w:bidi="ar-SA"/>
              </w:rPr>
              <w:t>英寸</w:t>
            </w:r>
            <w:r>
              <w:rPr>
                <w:rFonts w:hint="eastAsia" w:ascii="宋体" w:hAnsi="宋体" w:eastAsia="宋体" w:cs="宋体"/>
                <w:color w:val="000000"/>
                <w:kern w:val="2"/>
                <w:sz w:val="24"/>
                <w:szCs w:val="24"/>
                <w:lang w:val="en-US" w:eastAsia="zh-CN" w:bidi="ar-SA"/>
              </w:rPr>
              <w:t>。支持屏幕壁挂，支持视频会议。实现中控可视化模块上展示仪器基本信息、人员信息、基础记录、试剂耗材、资产信息等内容。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2</w:t>
            </w:r>
          </w:p>
        </w:tc>
        <w:tc>
          <w:tcPr>
            <w:tcW w:w="2199" w:type="dxa"/>
            <w:vAlign w:val="center"/>
          </w:tcPr>
          <w:p>
            <w:pPr>
              <w:spacing w:line="360" w:lineRule="auto"/>
              <w:jc w:val="center"/>
              <w:rPr>
                <w:rFonts w:hint="eastAsia" w:ascii="宋体" w:hAnsi="宋体" w:eastAsia="宋体"/>
                <w:bCs/>
                <w:color w:val="000000" w:themeColor="text1"/>
                <w:sz w:val="24"/>
                <w:lang w:eastAsia="zh-CN"/>
                <w14:textFill>
                  <w14:solidFill>
                    <w14:schemeClr w14:val="tx1"/>
                  </w14:solidFill>
                </w14:textFill>
              </w:rPr>
            </w:pPr>
            <w:r>
              <w:rPr>
                <w:rFonts w:ascii="宋体" w:hAnsi="宋体"/>
                <w:bCs/>
                <w:color w:val="000000" w:themeColor="text1"/>
                <w:sz w:val="24"/>
                <w14:textFill>
                  <w14:solidFill>
                    <w14:schemeClr w14:val="tx1"/>
                  </w14:solidFill>
                </w14:textFill>
              </w:rPr>
              <w:t>屏幕</w:t>
            </w:r>
            <w:r>
              <w:rPr>
                <w:rFonts w:hint="eastAsia" w:ascii="宋体" w:hAnsi="宋体"/>
                <w:bCs/>
                <w:color w:val="000000" w:themeColor="text1"/>
                <w:sz w:val="24"/>
                <w:lang w:eastAsia="zh-CN"/>
                <w14:textFill>
                  <w14:solidFill>
                    <w14:schemeClr w14:val="tx1"/>
                  </w14:solidFill>
                </w14:textFill>
              </w:rPr>
              <w:t>要求</w:t>
            </w:r>
          </w:p>
        </w:tc>
        <w:tc>
          <w:tcPr>
            <w:tcW w:w="5771" w:type="dxa"/>
            <w:vAlign w:val="center"/>
          </w:tcPr>
          <w:p>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cs="宋体"/>
                <w:color w:val="000000"/>
                <w:sz w:val="24"/>
                <w:szCs w:val="24"/>
                <w:lang w:val="en-US" w:eastAsia="zh-CN"/>
              </w:rPr>
              <w:t>尺寸不低于</w:t>
            </w:r>
            <w:r>
              <w:rPr>
                <w:rFonts w:hint="eastAsia" w:ascii="宋体" w:hAnsi="宋体" w:cs="宋体"/>
                <w:color w:val="000000"/>
                <w:sz w:val="24"/>
                <w:szCs w:val="24"/>
              </w:rPr>
              <w:t>80英寸</w:t>
            </w:r>
            <w:r>
              <w:rPr>
                <w:rFonts w:hint="eastAsia" w:ascii="宋体" w:hAnsi="宋体" w:cs="宋体"/>
                <w:color w:val="000000"/>
                <w:sz w:val="24"/>
                <w:szCs w:val="24"/>
                <w:lang w:eastAsia="zh-CN"/>
              </w:rPr>
              <w:t>、分辨率不低于</w:t>
            </w:r>
            <w:r>
              <w:rPr>
                <w:rFonts w:hint="eastAsia" w:ascii="宋体" w:hAnsi="宋体" w:cs="宋体"/>
                <w:color w:val="000000"/>
                <w:sz w:val="24"/>
                <w:szCs w:val="24"/>
                <w:lang w:val="en-US" w:eastAsia="zh-CN"/>
              </w:rPr>
              <w:t>4K、</w:t>
            </w:r>
            <w:r>
              <w:rPr>
                <w:rFonts w:hint="eastAsia" w:ascii="宋体" w:hAnsi="宋体" w:cs="宋体"/>
                <w:color w:val="000000"/>
                <w:sz w:val="24"/>
                <w:szCs w:val="24"/>
              </w:rPr>
              <w:t>彩色防眩光</w:t>
            </w:r>
            <w:r>
              <w:rPr>
                <w:rFonts w:hint="eastAsia" w:ascii="宋体" w:hAnsi="宋体" w:cs="宋体"/>
                <w:color w:val="000000"/>
                <w:sz w:val="24"/>
                <w:szCs w:val="24"/>
                <w:lang w:eastAsia="zh-CN"/>
              </w:rPr>
              <w:t>、</w:t>
            </w:r>
            <w:r>
              <w:rPr>
                <w:rFonts w:hint="eastAsia" w:ascii="宋体" w:hAnsi="宋体" w:cs="宋体"/>
                <w:color w:val="000000"/>
                <w:sz w:val="24"/>
                <w:szCs w:val="24"/>
              </w:rPr>
              <w:t>红外触摸显示器</w:t>
            </w:r>
            <w:r>
              <w:rPr>
                <w:rFonts w:hint="eastAsia" w:ascii="宋体" w:hAnsi="宋体" w:cs="宋体"/>
                <w:color w:val="000000"/>
                <w:sz w:val="24"/>
                <w:szCs w:val="24"/>
                <w:lang w:eastAsia="zh-CN"/>
              </w:rPr>
              <w:t>、</w:t>
            </w:r>
            <w:r>
              <w:rPr>
                <w:rFonts w:hint="eastAsia" w:ascii="宋体" w:hAnsi="宋体" w:cs="宋体"/>
                <w:color w:val="000000"/>
                <w:sz w:val="24"/>
                <w:szCs w:val="24"/>
              </w:rPr>
              <w:t>可反向触控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3</w:t>
            </w:r>
          </w:p>
        </w:tc>
        <w:tc>
          <w:tcPr>
            <w:tcW w:w="2199"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接口</w:t>
            </w:r>
          </w:p>
        </w:tc>
        <w:tc>
          <w:tcPr>
            <w:tcW w:w="5771" w:type="dxa"/>
            <w:vAlign w:val="center"/>
          </w:tcPr>
          <w:p>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无需外接OPS电脑，支持不少于以下接口及数量：HDMI IN×1、TOUCH 2.0×1、RS232×1、AUDIO OUT×1、USB2.0×3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4</w:t>
            </w:r>
          </w:p>
        </w:tc>
        <w:tc>
          <w:tcPr>
            <w:tcW w:w="2199" w:type="dxa"/>
            <w:vAlign w:val="center"/>
          </w:tcPr>
          <w:p>
            <w:pPr>
              <w:spacing w:line="360" w:lineRule="auto"/>
              <w:jc w:val="center"/>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会议能力</w:t>
            </w:r>
          </w:p>
        </w:tc>
        <w:tc>
          <w:tcPr>
            <w:tcW w:w="5771" w:type="dxa"/>
            <w:vAlign w:val="center"/>
          </w:tcPr>
          <w:p>
            <w:pPr>
              <w:spacing w:line="360" w:lineRule="auto"/>
              <w:jc w:val="lef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eastAsia="宋体" w:cs="宋体"/>
                <w:sz w:val="24"/>
                <w:szCs w:val="24"/>
              </w:rPr>
              <w:t>支持超清晰视频会议，兼容多种视频会议平台，可实现屏幕共享、书写同步等功能。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5</w:t>
            </w:r>
          </w:p>
        </w:tc>
        <w:tc>
          <w:tcPr>
            <w:tcW w:w="2199" w:type="dxa"/>
            <w:vAlign w:val="center"/>
          </w:tcPr>
          <w:p>
            <w:pPr>
              <w:spacing w:line="360" w:lineRule="auto"/>
              <w:jc w:val="center"/>
              <w:rPr>
                <w:rFonts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bCs/>
                <w:color w:val="000000" w:themeColor="text1"/>
                <w:sz w:val="24"/>
                <w14:textFill>
                  <w14:solidFill>
                    <w14:schemeClr w14:val="tx1"/>
                  </w14:solidFill>
                </w14:textFill>
              </w:rPr>
              <w:t>投屏方式</w:t>
            </w:r>
          </w:p>
        </w:tc>
        <w:tc>
          <w:tcPr>
            <w:tcW w:w="5771" w:type="dxa"/>
            <w:vAlign w:val="center"/>
          </w:tcPr>
          <w:p>
            <w:pPr>
              <w:spacing w:line="360" w:lineRule="auto"/>
              <w:jc w:val="lef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bCs/>
                <w:color w:val="000000" w:themeColor="text1"/>
                <w:sz w:val="24"/>
                <w14:textFill>
                  <w14:solidFill>
                    <w14:schemeClr w14:val="tx1"/>
                  </w14:solidFill>
                </w14:textFill>
              </w:rPr>
              <w:t>支持无限投屏</w:t>
            </w:r>
            <w:r>
              <w:rPr>
                <w:rFonts w:hint="eastAsia" w:ascii="宋体" w:hAnsi="宋体"/>
                <w:bCs/>
                <w:color w:val="000000" w:themeColor="text1"/>
                <w:sz w:val="24"/>
                <w:lang w:eastAsia="zh-CN"/>
                <w14:textFill>
                  <w14:solidFill>
                    <w14:schemeClr w14:val="tx1"/>
                  </w14:solidFill>
                </w14:textFill>
              </w:rPr>
              <w:t>、</w:t>
            </w:r>
            <w:r>
              <w:rPr>
                <w:rFonts w:hint="eastAsia" w:asciiTheme="minorEastAsia" w:hAnsiTheme="minorEastAsia" w:eastAsiaTheme="minorEastAsia" w:cstheme="minorBidi"/>
                <w:sz w:val="24"/>
                <w:szCs w:val="24"/>
              </w:rPr>
              <w:t>可四分屏显示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6</w:t>
            </w:r>
          </w:p>
        </w:tc>
        <w:tc>
          <w:tcPr>
            <w:tcW w:w="2199" w:type="dxa"/>
            <w:vAlign w:val="center"/>
          </w:tcPr>
          <w:p>
            <w:pPr>
              <w:spacing w:line="360" w:lineRule="auto"/>
              <w:jc w:val="center"/>
              <w:rPr>
                <w:rFonts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bCs/>
                <w:color w:val="000000" w:themeColor="text1"/>
                <w:sz w:val="24"/>
                <w14:textFill>
                  <w14:solidFill>
                    <w14:schemeClr w14:val="tx1"/>
                  </w14:solidFill>
                </w14:textFill>
              </w:rPr>
              <w:t>操作系统</w:t>
            </w:r>
          </w:p>
        </w:tc>
        <w:tc>
          <w:tcPr>
            <w:tcW w:w="5771" w:type="dxa"/>
            <w:vAlign w:val="center"/>
          </w:tcPr>
          <w:p>
            <w:pPr>
              <w:spacing w:line="360" w:lineRule="auto"/>
              <w:jc w:val="lef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bCs/>
                <w:color w:val="000000" w:themeColor="text1"/>
                <w:sz w:val="24"/>
                <w14:textFill>
                  <w14:solidFill>
                    <w14:schemeClr w14:val="tx1"/>
                  </w14:solidFill>
                </w14:textFill>
              </w:rPr>
              <w:t>Windows10</w:t>
            </w:r>
            <w:r>
              <w:rPr>
                <w:rFonts w:hint="eastAsia" w:ascii="宋体" w:hAnsi="宋体"/>
                <w:bCs/>
                <w:color w:val="000000" w:themeColor="text1"/>
                <w:sz w:val="24"/>
                <w:lang w:eastAsia="zh-CN"/>
                <w14:textFill>
                  <w14:solidFill>
                    <w14:schemeClr w14:val="tx1"/>
                  </w14:solidFill>
                </w14:textFill>
              </w:rPr>
              <w:t>和</w:t>
            </w:r>
            <w:r>
              <w:rPr>
                <w:rFonts w:ascii="宋体" w:hAnsi="宋体"/>
                <w:bCs/>
                <w:color w:val="000000" w:themeColor="text1"/>
                <w:sz w:val="24"/>
                <w14:textFill>
                  <w14:solidFill>
                    <w14:schemeClr w14:val="tx1"/>
                  </w14:solidFill>
                </w14:textFill>
              </w:rPr>
              <w:t>Android9.0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eastAsia"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7</w:t>
            </w:r>
          </w:p>
        </w:tc>
        <w:tc>
          <w:tcPr>
            <w:tcW w:w="2199" w:type="dxa"/>
            <w:vAlign w:val="center"/>
          </w:tcPr>
          <w:p>
            <w:pPr>
              <w:keepNext w:val="0"/>
              <w:keepLines w:val="0"/>
              <w:suppressLineNumbers w:val="0"/>
              <w:snapToGrid w:val="0"/>
              <w:spacing w:before="0" w:beforeAutospacing="0" w:after="0" w:afterAutospacing="0"/>
              <w:ind w:left="0" w:leftChars="0" w:right="0" w:rightChars="0"/>
              <w:jc w:val="center"/>
              <w:rPr>
                <w:rFonts w:ascii="宋体" w:hAnsi="宋体"/>
                <w:bCs/>
                <w:color w:val="000000" w:themeColor="text1"/>
                <w:sz w:val="24"/>
                <w14:textFill>
                  <w14:solidFill>
                    <w14:schemeClr w14:val="tx1"/>
                  </w14:solidFill>
                </w14:textFill>
              </w:rPr>
            </w:pPr>
            <w:r>
              <w:rPr>
                <w:rFonts w:hint="eastAsia" w:ascii="宋体" w:hAnsi="宋体" w:cs="DFBiaoKaiShu-B5"/>
                <w:sz w:val="24"/>
                <w:szCs w:val="24"/>
                <w:lang w:val="en-US" w:eastAsia="zh-CN"/>
              </w:rPr>
              <w:t>内存/存储</w:t>
            </w:r>
          </w:p>
        </w:tc>
        <w:tc>
          <w:tcPr>
            <w:tcW w:w="5771" w:type="dxa"/>
            <w:vAlign w:val="center"/>
          </w:tcPr>
          <w:p>
            <w:pPr>
              <w:keepNext w:val="0"/>
              <w:keepLines w:val="0"/>
              <w:suppressLineNumbers w:val="0"/>
              <w:spacing w:before="0" w:beforeAutospacing="0" w:after="0" w:afterAutospacing="0" w:line="360" w:lineRule="auto"/>
              <w:ind w:left="0" w:leftChars="0" w:right="0" w:rightChars="0"/>
              <w:jc w:val="left"/>
              <w:rPr>
                <w:rFonts w:ascii="宋体" w:hAnsi="宋体"/>
                <w:bCs/>
                <w:color w:val="000000" w:themeColor="text1"/>
                <w:sz w:val="24"/>
                <w14:textFill>
                  <w14:solidFill>
                    <w14:schemeClr w14:val="tx1"/>
                  </w14:solidFill>
                </w14:textFill>
              </w:rPr>
            </w:pPr>
            <w:r>
              <w:rPr>
                <w:rFonts w:hint="eastAsia" w:ascii="宋体" w:hAnsi="宋体" w:cs="宋体"/>
                <w:color w:val="000000"/>
                <w:sz w:val="24"/>
                <w:szCs w:val="24"/>
                <w:lang w:val="en-US" w:eastAsia="zh-CN"/>
              </w:rPr>
              <w:t>Android：4G/32G；Windows10：8G/128G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8</w:t>
            </w:r>
          </w:p>
        </w:tc>
        <w:tc>
          <w:tcPr>
            <w:tcW w:w="2199" w:type="dxa"/>
            <w:vAlign w:val="center"/>
          </w:tcPr>
          <w:p>
            <w:pPr>
              <w:spacing w:line="360" w:lineRule="auto"/>
              <w:jc w:val="center"/>
              <w:rPr>
                <w:rFonts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bCs/>
                <w:color w:val="000000" w:themeColor="text1"/>
                <w:sz w:val="24"/>
                <w14:textFill>
                  <w14:solidFill>
                    <w14:schemeClr w14:val="tx1"/>
                  </w14:solidFill>
                </w14:textFill>
              </w:rPr>
              <w:t>接口</w:t>
            </w:r>
          </w:p>
        </w:tc>
        <w:tc>
          <w:tcPr>
            <w:tcW w:w="5771" w:type="dxa"/>
            <w:vAlign w:val="center"/>
          </w:tcPr>
          <w:p>
            <w:pPr>
              <w:spacing w:line="360" w:lineRule="auto"/>
              <w:jc w:val="lef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宋体" w:hAnsi="宋体"/>
                <w:bCs/>
                <w:color w:val="000000" w:themeColor="text1"/>
                <w:sz w:val="24"/>
                <w14:textFill>
                  <w14:solidFill>
                    <w14:schemeClr w14:val="tx1"/>
                  </w14:solidFill>
                </w14:textFill>
              </w:rPr>
              <w:t>无需外接OPS电脑，支持不少于以下接口及数量：HDMI IN×1、TOUCH 2.0×1、RS232×1、AUDIO OUT×1、USB2.0×3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9</w:t>
            </w:r>
          </w:p>
        </w:tc>
        <w:tc>
          <w:tcPr>
            <w:tcW w:w="2199" w:type="dxa"/>
            <w:vAlign w:val="center"/>
          </w:tcPr>
          <w:p>
            <w:pPr>
              <w:spacing w:line="360" w:lineRule="auto"/>
              <w:jc w:val="center"/>
              <w:rPr>
                <w:rFonts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bCs/>
                <w:color w:val="000000" w:themeColor="text1"/>
                <w:sz w:val="24"/>
                <w14:textFill>
                  <w14:solidFill>
                    <w14:schemeClr w14:val="tx1"/>
                  </w14:solidFill>
                </w14:textFill>
              </w:rPr>
              <w:t>摄像头</w:t>
            </w:r>
          </w:p>
        </w:tc>
        <w:tc>
          <w:tcPr>
            <w:tcW w:w="5771" w:type="dxa"/>
            <w:vAlign w:val="center"/>
          </w:tcPr>
          <w:p>
            <w:pPr>
              <w:spacing w:line="360" w:lineRule="auto"/>
              <w:jc w:val="left"/>
              <w:rPr>
                <w:rFonts w:hint="eastAsia"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bCs/>
                <w:color w:val="000000" w:themeColor="text1"/>
                <w:sz w:val="24"/>
                <w14:textFill>
                  <w14:solidFill>
                    <w14:schemeClr w14:val="tx1"/>
                  </w14:solidFill>
                </w14:textFill>
              </w:rPr>
              <w:t>1100万</w:t>
            </w:r>
            <w:r>
              <w:rPr>
                <w:rFonts w:hint="eastAsia" w:ascii="宋体" w:hAnsi="宋体"/>
                <w:bCs/>
                <w:color w:val="000000" w:themeColor="text1"/>
                <w:sz w:val="24"/>
                <w:lang w:val="en-US" w:eastAsia="zh-CN"/>
                <w14:textFill>
                  <w14:solidFill>
                    <w14:schemeClr w14:val="tx1"/>
                  </w14:solidFill>
                </w14:textFill>
              </w:rPr>
              <w:t>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10</w:t>
            </w:r>
          </w:p>
        </w:tc>
        <w:tc>
          <w:tcPr>
            <w:tcW w:w="2199" w:type="dxa"/>
            <w:vAlign w:val="center"/>
          </w:tcPr>
          <w:p>
            <w:pPr>
              <w:spacing w:line="360" w:lineRule="auto"/>
              <w:jc w:val="center"/>
              <w:rPr>
                <w:rFonts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sz w:val="24"/>
                <w:szCs w:val="24"/>
              </w:rPr>
              <w:t>麦克风</w:t>
            </w:r>
          </w:p>
        </w:tc>
        <w:tc>
          <w:tcPr>
            <w:tcW w:w="5771" w:type="dxa"/>
            <w:vAlign w:val="center"/>
          </w:tcPr>
          <w:p>
            <w:pPr>
              <w:spacing w:line="360" w:lineRule="auto"/>
              <w:jc w:val="left"/>
              <w:rPr>
                <w:rFonts w:ascii="宋体" w:hAnsi="宋体" w:eastAsia="宋体" w:cs="Times New Roman"/>
                <w:bCs/>
                <w:color w:val="000000" w:themeColor="text1"/>
                <w:kern w:val="2"/>
                <w:sz w:val="24"/>
                <w:szCs w:val="24"/>
                <w:lang w:val="en-US" w:eastAsia="zh-CN" w:bidi="ar-SA"/>
                <w14:textFill>
                  <w14:solidFill>
                    <w14:schemeClr w14:val="tx1"/>
                  </w14:solidFill>
                </w14:textFill>
              </w:rPr>
            </w:pPr>
            <w:r>
              <w:rPr>
                <w:rFonts w:hint="eastAsia" w:asciiTheme="minorEastAsia" w:hAnsiTheme="minorEastAsia" w:eastAsiaTheme="minorEastAsia" w:cstheme="minorBidi"/>
                <w:sz w:val="24"/>
                <w:szCs w:val="24"/>
              </w:rPr>
              <w:t>6阵列麦克风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11</w:t>
            </w:r>
          </w:p>
        </w:tc>
        <w:tc>
          <w:tcPr>
            <w:tcW w:w="2199" w:type="dxa"/>
            <w:vAlign w:val="center"/>
          </w:tcPr>
          <w:p>
            <w:pPr>
              <w:spacing w:line="360" w:lineRule="auto"/>
              <w:jc w:val="center"/>
              <w:rPr>
                <w:rFonts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bCs/>
                <w:color w:val="000000" w:themeColor="text1"/>
                <w:sz w:val="24"/>
                <w14:textFill>
                  <w14:solidFill>
                    <w14:schemeClr w14:val="tx1"/>
                  </w14:solidFill>
                </w14:textFill>
              </w:rPr>
              <w:t>拾音距离</w:t>
            </w:r>
          </w:p>
        </w:tc>
        <w:tc>
          <w:tcPr>
            <w:tcW w:w="5771" w:type="dxa"/>
            <w:vAlign w:val="center"/>
          </w:tcPr>
          <w:p>
            <w:pPr>
              <w:spacing w:line="360" w:lineRule="auto"/>
              <w:jc w:val="left"/>
              <w:rPr>
                <w:rFonts w:ascii="宋体" w:hAnsi="宋体" w:eastAsia="宋体" w:cs="Times New Roman"/>
                <w:bCs/>
                <w:color w:val="000000" w:themeColor="text1"/>
                <w:kern w:val="2"/>
                <w:sz w:val="24"/>
                <w:szCs w:val="24"/>
                <w:lang w:val="en-US" w:eastAsia="zh-CN" w:bidi="ar-SA"/>
                <w14:textFill>
                  <w14:solidFill>
                    <w14:schemeClr w14:val="tx1"/>
                  </w14:solidFill>
                </w14:textFill>
              </w:rPr>
            </w:pPr>
            <w:r>
              <w:rPr>
                <w:rFonts w:ascii="宋体" w:hAnsi="宋体"/>
                <w:bCs/>
                <w:color w:val="000000" w:themeColor="text1"/>
                <w:sz w:val="24"/>
                <w14:textFill>
                  <w14:solidFill>
                    <w14:schemeClr w14:val="tx1"/>
                  </w14:solidFill>
                </w14:textFill>
              </w:rPr>
              <w:t>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12</w:t>
            </w:r>
          </w:p>
        </w:tc>
        <w:tc>
          <w:tcPr>
            <w:tcW w:w="2199"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ascii="宋体" w:hAnsi="宋体" w:eastAsia="宋体" w:cs="宋体"/>
                <w:sz w:val="24"/>
                <w:szCs w:val="24"/>
              </w:rPr>
              <w:t>网络适应性</w:t>
            </w:r>
          </w:p>
        </w:tc>
        <w:tc>
          <w:tcPr>
            <w:tcW w:w="5771" w:type="dxa"/>
            <w:vAlign w:val="center"/>
          </w:tcPr>
          <w:p>
            <w:pPr>
              <w:spacing w:line="360" w:lineRule="auto"/>
              <w:jc w:val="left"/>
              <w:rPr>
                <w:rFonts w:ascii="宋体" w:hAnsi="宋体"/>
                <w:bCs/>
                <w:color w:val="000000" w:themeColor="text1"/>
                <w:sz w:val="24"/>
                <w14:textFill>
                  <w14:solidFill>
                    <w14:schemeClr w14:val="tx1"/>
                  </w14:solidFill>
                </w14:textFill>
              </w:rPr>
            </w:pPr>
            <w:r>
              <w:rPr>
                <w:rFonts w:ascii="宋体" w:hAnsi="宋体" w:eastAsia="宋体" w:cs="宋体"/>
                <w:sz w:val="24"/>
                <w:szCs w:val="24"/>
              </w:rPr>
              <w:t>支持IPv4和IPv6双协议栈下的正常通信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eastAsia="宋体"/>
                <w:bCs/>
                <w:color w:val="000000" w:themeColor="text1"/>
                <w:sz w:val="24"/>
                <w:lang w:val="en-US" w:eastAsia="zh-CN"/>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13</w:t>
            </w:r>
          </w:p>
        </w:tc>
        <w:tc>
          <w:tcPr>
            <w:tcW w:w="2199" w:type="dxa"/>
            <w:vAlign w:val="center"/>
          </w:tcPr>
          <w:p>
            <w:pPr>
              <w:spacing w:line="360" w:lineRule="auto"/>
              <w:jc w:val="center"/>
              <w:rPr>
                <w:rFonts w:hint="eastAsia" w:ascii="宋体" w:hAnsi="宋体" w:eastAsia="宋体"/>
                <w:bCs/>
                <w:color w:val="000000" w:themeColor="text1"/>
                <w:sz w:val="24"/>
                <w:lang w:eastAsia="zh-CN"/>
                <w14:textFill>
                  <w14:solidFill>
                    <w14:schemeClr w14:val="tx1"/>
                  </w14:solidFill>
                </w14:textFill>
              </w:rPr>
            </w:pPr>
            <w:r>
              <w:rPr>
                <w:rFonts w:ascii="宋体" w:hAnsi="宋体"/>
                <w:bCs/>
                <w:color w:val="000000" w:themeColor="text1"/>
                <w:sz w:val="24"/>
                <w14:textFill>
                  <w14:solidFill>
                    <w14:schemeClr w14:val="tx1"/>
                  </w14:solidFill>
                </w14:textFill>
              </w:rPr>
              <w:t>配件</w:t>
            </w:r>
          </w:p>
        </w:tc>
        <w:tc>
          <w:tcPr>
            <w:tcW w:w="5771" w:type="dxa"/>
            <w:vAlign w:val="center"/>
          </w:tcPr>
          <w:p>
            <w:pPr>
              <w:spacing w:line="360" w:lineRule="auto"/>
              <w:jc w:val="left"/>
              <w:rPr>
                <w:rFonts w:ascii="宋体" w:hAnsi="宋体"/>
                <w:bCs/>
                <w:color w:val="000000" w:themeColor="text1"/>
                <w:sz w:val="24"/>
                <w14:textFill>
                  <w14:solidFill>
                    <w14:schemeClr w14:val="tx1"/>
                  </w14:solidFill>
                </w14:textFill>
              </w:rPr>
            </w:pPr>
            <w:r>
              <w:rPr>
                <w:rFonts w:hint="eastAsia" w:asciiTheme="minorEastAsia" w:hAnsiTheme="minorEastAsia" w:eastAsiaTheme="minorEastAsia" w:cstheme="minorBidi"/>
                <w:sz w:val="24"/>
                <w:szCs w:val="24"/>
              </w:rPr>
              <w:t>无线传屏器、智能笔、移动脚架等配件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1" w:type="dxa"/>
            <w:vAlign w:val="center"/>
          </w:tcPr>
          <w:p>
            <w:pPr>
              <w:spacing w:line="360" w:lineRule="auto"/>
              <w:jc w:val="center"/>
              <w:rPr>
                <w:rFonts w:hint="default" w:ascii="宋体" w:hAnsi="宋体" w:eastAsia="宋体"/>
                <w:bCs/>
                <w:color w:val="000000" w:themeColor="text1"/>
                <w:sz w:val="24"/>
                <w:lang w:val="en-US" w:eastAsia="zh-CN"/>
                <w14:textFill>
                  <w14:solidFill>
                    <w14:schemeClr w14:val="tx1"/>
                  </w14:solidFill>
                </w14:textFill>
              </w:rPr>
            </w:pPr>
          </w:p>
        </w:tc>
        <w:tc>
          <w:tcPr>
            <w:tcW w:w="2199" w:type="dxa"/>
            <w:vAlign w:val="center"/>
          </w:tcPr>
          <w:p>
            <w:pPr>
              <w:spacing w:line="360" w:lineRule="auto"/>
              <w:jc w:val="center"/>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其他</w:t>
            </w:r>
          </w:p>
        </w:tc>
        <w:tc>
          <w:tcPr>
            <w:tcW w:w="5771" w:type="dxa"/>
            <w:vAlign w:val="center"/>
          </w:tcPr>
          <w:p>
            <w:pPr>
              <w:spacing w:line="360" w:lineRule="auto"/>
              <w:jc w:val="left"/>
              <w:rPr>
                <w:rFonts w:hint="eastAsia" w:ascii="宋体" w:hAnsi="宋体" w:eastAsia="宋体"/>
                <w:bCs/>
                <w:color w:val="000000" w:themeColor="text1"/>
                <w:sz w:val="24"/>
                <w:lang w:val="en-US" w:eastAsia="zh-CN"/>
                <w14:textFill>
                  <w14:solidFill>
                    <w14:schemeClr w14:val="tx1"/>
                  </w14:solidFill>
                </w14:textFill>
              </w:rPr>
            </w:pPr>
            <w:r>
              <w:rPr>
                <w:rFonts w:ascii="宋体" w:hAnsi="宋体" w:eastAsia="宋体" w:cs="宋体"/>
                <w:sz w:val="24"/>
                <w:szCs w:val="24"/>
              </w:rPr>
              <w:t>所投产品具备电信入网证、CCC证书</w:t>
            </w:r>
            <w:r>
              <w:rPr>
                <w:rFonts w:hint="eastAsia" w:ascii="宋体" w:hAnsi="宋体" w:cs="宋体"/>
                <w:sz w:val="24"/>
                <w:szCs w:val="24"/>
                <w:lang w:eastAsia="zh-CN"/>
              </w:rPr>
              <w:t>，</w:t>
            </w:r>
            <w:r>
              <w:rPr>
                <w:rFonts w:ascii="宋体" w:hAnsi="宋体" w:eastAsia="宋体" w:cs="宋体"/>
                <w:sz w:val="24"/>
                <w:szCs w:val="24"/>
              </w:rPr>
              <w:t>须提供所投设备的三年原厂质保服务承诺函</w:t>
            </w:r>
            <w:r>
              <w:rPr>
                <w:rFonts w:hint="eastAsia" w:ascii="宋体" w:hAnsi="宋体" w:cs="宋体"/>
                <w:sz w:val="24"/>
                <w:szCs w:val="24"/>
                <w:lang w:eastAsia="zh-CN"/>
              </w:rPr>
              <w:t>。</w:t>
            </w:r>
          </w:p>
        </w:tc>
      </w:tr>
    </w:tbl>
    <w:p>
      <w:pPr>
        <w:pStyle w:val="2"/>
        <w:numPr>
          <w:numId w:val="0"/>
        </w:numPr>
        <w:tabs>
          <w:tab w:val="left" w:pos="0"/>
        </w:tabs>
        <w:ind w:leftChars="0"/>
        <w:rPr>
          <w:rFonts w:hint="eastAsia" w:eastAsiaTheme="minorEastAsia"/>
        </w:rPr>
      </w:pPr>
    </w:p>
    <w:p>
      <w:pPr>
        <w:pStyle w:val="2"/>
        <w:numPr>
          <w:ilvl w:val="0"/>
          <w:numId w:val="1"/>
        </w:numPr>
        <w:ind w:left="0" w:leftChars="0" w:firstLine="0" w:firstLineChars="0"/>
        <w:rPr>
          <w:rFonts w:hint="eastAsia" w:eastAsiaTheme="minorEastAsia"/>
        </w:rPr>
      </w:pPr>
      <w:r>
        <w:rPr>
          <w:rFonts w:hint="eastAsia" w:ascii="宋体" w:hAnsi="宋体" w:eastAsia="宋体" w:cs="宋体"/>
          <w:sz w:val="21"/>
          <w:szCs w:val="21"/>
          <w:lang w:val="en-US" w:eastAsia="zh-CN"/>
        </w:rPr>
        <w:t>实验室智能管理系统软件需求</w:t>
      </w:r>
    </w:p>
    <w:tbl>
      <w:tblPr>
        <w:tblStyle w:val="4"/>
        <w:tblW w:w="93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模块</w:t>
            </w:r>
          </w:p>
        </w:tc>
        <w:tc>
          <w:tcPr>
            <w:tcW w:w="8050" w:type="dxa"/>
          </w:tcPr>
          <w:p>
            <w:pPr>
              <w:jc w:val="center"/>
              <w:rPr>
                <w:rFonts w:asciiTheme="minorEastAsia" w:hAnsiTheme="minorEastAsia" w:eastAsiaTheme="minorEastAsia" w:cstheme="minorBidi"/>
                <w:sz w:val="24"/>
              </w:rPr>
            </w:pPr>
            <w:r>
              <w:rPr>
                <w:rFonts w:hint="eastAsia" w:asciiTheme="minorEastAsia" w:hAnsiTheme="minorEastAsia" w:eastAsiaTheme="minorEastAsia" w:cstheme="minorBidi"/>
                <w:sz w:val="24"/>
              </w:rPr>
              <w:t>功能详细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pPr>
            <w:r>
              <w:rPr>
                <w:rFonts w:hint="eastAsia" w:asciiTheme="minorEastAsia" w:hAnsiTheme="minorEastAsia" w:eastAsiaTheme="minorEastAsia" w:cstheme="minorBidi"/>
                <w:sz w:val="24"/>
              </w:rPr>
              <w:t>人员管理</w:t>
            </w:r>
          </w:p>
        </w:tc>
        <w:tc>
          <w:tcPr>
            <w:tcW w:w="8050" w:type="dxa"/>
            <w:vAlign w:val="center"/>
          </w:tcPr>
          <w:p>
            <w:pPr>
              <w:pStyle w:val="6"/>
              <w:numPr>
                <w:ilvl w:val="0"/>
                <w:numId w:val="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支持院（校）内、外用户系统注册功能，由管理员审核后激活账户，方可登录系统。</w:t>
            </w:r>
          </w:p>
          <w:p>
            <w:pPr>
              <w:pStyle w:val="6"/>
              <w:numPr>
                <w:ilvl w:val="0"/>
                <w:numId w:val="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支持注册用户使用期限管控，由管理员分配使用权限。</w:t>
            </w:r>
          </w:p>
          <w:p>
            <w:pPr>
              <w:pStyle w:val="6"/>
              <w:numPr>
                <w:ilvl w:val="0"/>
                <w:numId w:val="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支持实验室准入培训及考核，用户注册后，需对实验室相关规定、安全、危化品处置进行考核。</w:t>
            </w:r>
          </w:p>
          <w:p>
            <w:pPr>
              <w:pStyle w:val="6"/>
              <w:numPr>
                <w:ilvl w:val="0"/>
                <w:numId w:val="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支持管理员对基本信息配置，包括但不限于用户信息、角色权限、研究机构信息、仪器设备信息</w:t>
            </w:r>
          </w:p>
          <w:p>
            <w:pPr>
              <w:pStyle w:val="6"/>
              <w:numPr>
                <w:ilvl w:val="0"/>
                <w:numId w:val="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支持用户查看各类仪器预约记录，及个人使用记录及计费记录。</w:t>
            </w:r>
          </w:p>
          <w:p>
            <w:pPr>
              <w:pStyle w:val="6"/>
              <w:numPr>
                <w:ilvl w:val="0"/>
                <w:numId w:val="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支持黑名单管理，可记录系统黑名单和仪器黑名单，可设置爽约上限次数，超过上限即列入黑名单。</w:t>
            </w:r>
          </w:p>
          <w:p>
            <w:pPr>
              <w:pStyle w:val="6"/>
              <w:numPr>
                <w:ilvl w:val="0"/>
                <w:numId w:val="3"/>
              </w:numPr>
              <w:ind w:firstLineChars="0"/>
              <w:rPr>
                <w:rFonts w:ascii="宋体" w:hAnsi="宋体" w:cs="宋体"/>
                <w:szCs w:val="21"/>
              </w:rPr>
            </w:pPr>
            <w:r>
              <w:rPr>
                <w:rFonts w:hint="eastAsia" w:asciiTheme="minorEastAsia" w:hAnsiTheme="minorEastAsia" w:eastAsiaTheme="minorEastAsia" w:cstheme="minorBidi"/>
                <w:sz w:val="24"/>
              </w:rPr>
              <w:t>支持管理员手动查看、修改黑名单列表，且可记录修改日志。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sz w:val="24"/>
              </w:rPr>
            </w:pPr>
            <w:r>
              <w:rPr>
                <w:rFonts w:hint="eastAsia" w:asciiTheme="minorEastAsia" w:hAnsiTheme="minorEastAsia" w:eastAsiaTheme="minorEastAsia" w:cstheme="minorBidi"/>
                <w:sz w:val="24"/>
              </w:rPr>
              <w:t>登录管理</w:t>
            </w:r>
          </w:p>
        </w:tc>
        <w:tc>
          <w:tcPr>
            <w:tcW w:w="8050" w:type="dxa"/>
            <w:vAlign w:val="center"/>
          </w:tcPr>
          <w:p>
            <w:pPr>
              <w:pStyle w:val="6"/>
              <w:numPr>
                <w:ilvl w:val="0"/>
                <w:numId w:val="4"/>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登录界面支持信息门户展示，包括但不限于实验室最新动态、通知公告、规章制度、医院宣传图、仪器设备说明概况。</w:t>
            </w:r>
          </w:p>
          <w:p>
            <w:pPr>
              <w:pStyle w:val="6"/>
              <w:numPr>
                <w:ilvl w:val="0"/>
                <w:numId w:val="4"/>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支持用户发布通知公告、规章制度等基本信息。</w:t>
            </w:r>
          </w:p>
          <w:p>
            <w:pPr>
              <w:pStyle w:val="6"/>
              <w:numPr>
                <w:ilvl w:val="0"/>
                <w:numId w:val="4"/>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rPr>
              <w:t>支持单点登录，可通过医院统一身份认证方式登录。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sz w:val="24"/>
              </w:rPr>
            </w:pPr>
            <w:r>
              <w:rPr>
                <w:rFonts w:hint="eastAsia" w:asciiTheme="minorEastAsia" w:hAnsiTheme="minorEastAsia" w:eastAsiaTheme="minorEastAsia" w:cstheme="minorBidi"/>
                <w:sz w:val="24"/>
              </w:rPr>
              <w:t>技术服务管理</w:t>
            </w:r>
          </w:p>
        </w:tc>
        <w:tc>
          <w:tcPr>
            <w:tcW w:w="8050" w:type="dxa"/>
            <w:vAlign w:val="center"/>
          </w:tcPr>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支持技术服务项目管理，包括但不限于项目简介、项目负责人、收费标准、样本需求标准、项目处理步骤、步骤所关联仪器设备。</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支持根据技术服务项目自定义技术服务处理步骤，可设置各步骤相关仪器、处理服务人员、处理服务标准定价、结果输出形式。</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支持服务项目多级管理，可自定义项目级别菜单，在创建时可进行简短介绍说明。</w:t>
            </w:r>
          </w:p>
          <w:p>
            <w:pPr>
              <w:pStyle w:val="6"/>
              <w:numPr>
                <w:ilvl w:val="0"/>
                <w:numId w:val="5"/>
              </w:numPr>
              <w:ind w:firstLineChars="0"/>
            </w:pPr>
            <w:r>
              <w:rPr>
                <w:rFonts w:hint="eastAsia"/>
                <w:sz w:val="24"/>
              </w:rPr>
              <w:t>支持技术服务项目查看，包括但不限于项目类型、项目具体条目、项目信息。</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支持服务项目申请预约功能，内容包括但不限于样本数量、样本描述、服务要求、用户联系人、联系方式，并生成申请表单。</w:t>
            </w:r>
          </w:p>
          <w:p>
            <w:pPr>
              <w:pStyle w:val="6"/>
              <w:numPr>
                <w:ilvl w:val="0"/>
                <w:numId w:val="5"/>
              </w:numPr>
              <w:ind w:firstLineChars="0"/>
            </w:pPr>
            <w:r>
              <w:rPr>
                <w:rFonts w:hint="eastAsia" w:asciiTheme="minorEastAsia" w:hAnsiTheme="minorEastAsia" w:eastAsiaTheme="minorEastAsia" w:cstheme="minorBidi"/>
                <w:color w:val="000000" w:themeColor="text1"/>
                <w:sz w:val="24"/>
                <w14:textFill>
                  <w14:solidFill>
                    <w14:schemeClr w14:val="tx1"/>
                  </w14:solidFill>
                </w14:textFill>
              </w:rPr>
              <w:t>支持服务项目处理步骤勾选功能，可根据勾选步骤及选择的仪器，及相关折扣自动计算最终服务支出金额。</w:t>
            </w:r>
          </w:p>
          <w:p>
            <w:pPr>
              <w:pStyle w:val="6"/>
              <w:numPr>
                <w:ilvl w:val="0"/>
                <w:numId w:val="5"/>
              </w:numPr>
              <w:ind w:firstLineChars="0"/>
            </w:pPr>
            <w:r>
              <w:rPr>
                <w:rFonts w:hint="eastAsia" w:asciiTheme="minorEastAsia" w:hAnsiTheme="minorEastAsia" w:eastAsiaTheme="minorEastAsia" w:cstheme="minorBidi"/>
                <w:color w:val="000000" w:themeColor="text1"/>
                <w:sz w:val="24"/>
                <w14:textFill>
                  <w14:solidFill>
                    <w14:schemeClr w14:val="tx1"/>
                  </w14:solidFill>
                </w14:textFill>
              </w:rPr>
              <w:t>支持服务项目申请状态标识，如“待审核”（申请单提交，等待项目审核员审核）、“待缴费”（当最终修订后总预计金额大于账户余额）、“待分配”（当最终修订后总预计金额小于账户余额或用户进行已缴费）、“待服务”（项目审核通过，并调配服务处理员及处理仪器后）、“已完成”（缴费成功）、“已结项”（上传报告）</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支持服务项目审核功能，可审核项目内容、最终服务支出金额、账户余额、预付款缴费凭证等内容，可修改最终服务支出金额，可驳回项目申请，并通过站内信息通知用户。</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sz w:val="24"/>
              </w:rPr>
              <w:t>支持对审核通过的项目的服务过程处理员和处理仪器进行调配，生成调配送样申请单和处理记录，并同时扣除用户余额中的对应金额。</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支持服务项目技术服务管理功能，可查看“待服务”项目列表。</w:t>
            </w:r>
          </w:p>
          <w:p>
            <w:pPr>
              <w:pStyle w:val="6"/>
              <w:numPr>
                <w:ilvl w:val="0"/>
                <w:numId w:val="5"/>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支持服务过程处理人</w:t>
            </w:r>
            <w:r>
              <w:rPr>
                <w:rFonts w:hint="eastAsia" w:asciiTheme="minorEastAsia" w:hAnsiTheme="minorEastAsia" w:eastAsiaTheme="minorEastAsia" w:cstheme="minorBidi"/>
                <w:sz w:val="24"/>
                <w:highlight w:val="none"/>
              </w:rPr>
              <w:t>员线下操作</w:t>
            </w:r>
            <w:r>
              <w:rPr>
                <w:rFonts w:hint="eastAsia" w:asciiTheme="minorEastAsia" w:hAnsiTheme="minorEastAsia" w:eastAsiaTheme="minorEastAsia" w:cstheme="minorBidi"/>
                <w:sz w:val="24"/>
              </w:rPr>
              <w:t>处理服务项目。</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支持样品检测员（仪器负责人）查看送样项目的申请信息，记录产生的使用记录，并可上传“步骤检测结果”报告。</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支持用户对服务步骤过程结果的确认操作，即用户需对服务过程进行确认，确认后操作员方可进行下一步。</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支持用户对服务步骤过程结果的驳回操作，可设置驳回上限，超过上线自动确认。</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支持用户查看服务状态和下载报告功能。</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支持最终服务报告管理，对缴费成功的项目上传结果报告，用户可查看、下载最终报告结果。</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支持报告管理功能，管理员可查看具有最终检测报告的项目列表，可查阅最终检测结果报告。</w:t>
            </w:r>
          </w:p>
          <w:p>
            <w:pPr>
              <w:pStyle w:val="6"/>
              <w:numPr>
                <w:ilvl w:val="0"/>
                <w:numId w:val="5"/>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支持报告清单列表的导出和打印，包括但不限于预约人、报告时间、技术服务所属类型、项目服务金额。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sz w:val="24"/>
              </w:rPr>
            </w:pPr>
            <w:r>
              <w:rPr>
                <w:rFonts w:hint="eastAsia" w:asciiTheme="minorEastAsia" w:hAnsiTheme="minorEastAsia" w:eastAsiaTheme="minorEastAsia" w:cstheme="minorBidi"/>
                <w:color w:val="000000" w:themeColor="text1"/>
                <w:sz w:val="24"/>
                <w14:textFill>
                  <w14:solidFill>
                    <w14:schemeClr w14:val="tx1"/>
                  </w14:solidFill>
                </w14:textFill>
              </w:rPr>
              <w:t>预约管理</w:t>
            </w:r>
          </w:p>
        </w:tc>
        <w:tc>
          <w:tcPr>
            <w:tcW w:w="8050" w:type="dxa"/>
            <w:vAlign w:val="center"/>
          </w:tcPr>
          <w:p>
            <w:pPr>
              <w:pStyle w:val="6"/>
              <w:numPr>
                <w:ilvl w:val="0"/>
                <w:numId w:val="6"/>
              </w:numPr>
              <w:ind w:firstLineChars="0"/>
              <w:rPr>
                <w:sz w:val="24"/>
              </w:rPr>
            </w:pPr>
            <w:r>
              <w:rPr>
                <w:rFonts w:hint="eastAsia" w:asciiTheme="minorEastAsia" w:hAnsiTheme="minorEastAsia" w:eastAsiaTheme="minorEastAsia" w:cstheme="minorBidi"/>
                <w:sz w:val="24"/>
              </w:rPr>
              <w:t>支持送样预约全流程管理，包括但不限于送样申请、送样审核、送样批复、样本测试、测试结果管理。</w:t>
            </w:r>
          </w:p>
          <w:p>
            <w:pPr>
              <w:pStyle w:val="6"/>
              <w:numPr>
                <w:ilvl w:val="0"/>
                <w:numId w:val="6"/>
              </w:numPr>
              <w:ind w:firstLineChars="0"/>
              <w:rPr>
                <w:sz w:val="24"/>
              </w:rPr>
            </w:pPr>
            <w:r>
              <w:rPr>
                <w:rFonts w:hint="eastAsia" w:asciiTheme="minorEastAsia" w:hAnsiTheme="minorEastAsia" w:eastAsiaTheme="minorEastAsia" w:cstheme="minorBidi"/>
                <w:sz w:val="24"/>
              </w:rPr>
              <w:t>支持用户查看送样申请和样品检测状态，如已批准（送样申请通过管理员审批）、已拒绝（送样申请未通过管理员审批）、已测试（接收样本并测试完成）、因故取消等。</w:t>
            </w:r>
          </w:p>
          <w:p>
            <w:pPr>
              <w:pStyle w:val="6"/>
              <w:numPr>
                <w:ilvl w:val="0"/>
                <w:numId w:val="6"/>
              </w:numPr>
              <w:ind w:firstLineChars="0"/>
              <w:rPr>
                <w:sz w:val="24"/>
              </w:rPr>
            </w:pPr>
            <w:r>
              <w:rPr>
                <w:rFonts w:hint="eastAsia" w:asciiTheme="minorEastAsia" w:hAnsiTheme="minorEastAsia" w:eastAsiaTheme="minorEastAsia" w:cstheme="minorBidi"/>
                <w:sz w:val="24"/>
              </w:rPr>
              <w:t>支持送样预约仪器的默认审批功能，用户提交送样申请后，状态默认为“已批准”。</w:t>
            </w:r>
          </w:p>
          <w:p>
            <w:pPr>
              <w:pStyle w:val="6"/>
              <w:numPr>
                <w:ilvl w:val="0"/>
                <w:numId w:val="6"/>
              </w:numPr>
              <w:ind w:firstLineChars="0"/>
              <w:rPr>
                <w:sz w:val="24"/>
              </w:rPr>
            </w:pPr>
            <w:r>
              <w:rPr>
                <w:rFonts w:hint="eastAsia" w:asciiTheme="minorEastAsia" w:hAnsiTheme="minorEastAsia" w:eastAsiaTheme="minorEastAsia" w:cstheme="minorBidi"/>
                <w:sz w:val="24"/>
              </w:rPr>
              <w:t>支持测试结果上传功能，以送样预约单描述的测试结果形式上传。</w:t>
            </w:r>
          </w:p>
          <w:p>
            <w:pPr>
              <w:pStyle w:val="6"/>
              <w:numPr>
                <w:ilvl w:val="0"/>
                <w:numId w:val="6"/>
              </w:numPr>
              <w:ind w:firstLineChars="0"/>
              <w:rPr>
                <w:sz w:val="24"/>
              </w:rPr>
            </w:pPr>
            <w:r>
              <w:rPr>
                <w:rFonts w:hint="eastAsia" w:asciiTheme="minorEastAsia" w:hAnsiTheme="minorEastAsia" w:eastAsiaTheme="minorEastAsia" w:cstheme="minorBidi"/>
                <w:sz w:val="24"/>
              </w:rPr>
              <w:t>支持送样预约单的自定义配置，包括但不限于样本类型、存储状态、样本数量、测试结果反馈形式、测试需求。</w:t>
            </w:r>
          </w:p>
          <w:p>
            <w:pPr>
              <w:pStyle w:val="6"/>
              <w:numPr>
                <w:ilvl w:val="0"/>
                <w:numId w:val="6"/>
              </w:numPr>
              <w:ind w:firstLineChars="0"/>
              <w:rPr>
                <w:sz w:val="24"/>
              </w:rPr>
            </w:pPr>
            <w:r>
              <w:rPr>
                <w:rFonts w:hint="eastAsia" w:asciiTheme="minorEastAsia" w:hAnsiTheme="minorEastAsia" w:eastAsiaTheme="minorEastAsia" w:cstheme="minorBidi"/>
                <w:sz w:val="24"/>
              </w:rPr>
              <w:t>支持自主预约全流程管理，包括预约前培训管理、仪器预约、审批、使用记录、使用反馈等。</w:t>
            </w:r>
          </w:p>
          <w:p>
            <w:pPr>
              <w:pStyle w:val="6"/>
              <w:numPr>
                <w:ilvl w:val="0"/>
                <w:numId w:val="6"/>
              </w:numPr>
              <w:ind w:firstLineChars="0"/>
              <w:rPr>
                <w:sz w:val="24"/>
              </w:rPr>
            </w:pPr>
            <w:r>
              <w:rPr>
                <w:rFonts w:hint="eastAsia" w:asciiTheme="minorEastAsia" w:hAnsiTheme="minorEastAsia" w:eastAsiaTheme="minorEastAsia" w:cstheme="minorBidi"/>
                <w:sz w:val="24"/>
              </w:rPr>
              <w:t>支持自主预约以日历表的形式进行预约和查看，可按周、月进行显示。</w:t>
            </w:r>
          </w:p>
          <w:p>
            <w:pPr>
              <w:pStyle w:val="6"/>
              <w:numPr>
                <w:ilvl w:val="0"/>
                <w:numId w:val="6"/>
              </w:numPr>
              <w:ind w:firstLineChars="0"/>
              <w:rPr>
                <w:sz w:val="24"/>
              </w:rPr>
            </w:pPr>
            <w:r>
              <w:rPr>
                <w:rFonts w:hint="eastAsia" w:asciiTheme="minorEastAsia" w:hAnsiTheme="minorEastAsia" w:eastAsiaTheme="minorEastAsia" w:cstheme="minorBidi"/>
                <w:sz w:val="24"/>
              </w:rPr>
              <w:t>支持排队预约功能，可设置排队预约上限人数。</w:t>
            </w:r>
          </w:p>
          <w:p>
            <w:pPr>
              <w:pStyle w:val="6"/>
              <w:numPr>
                <w:ilvl w:val="0"/>
                <w:numId w:val="6"/>
              </w:numPr>
              <w:ind w:firstLineChars="0"/>
              <w:rPr>
                <w:sz w:val="24"/>
              </w:rPr>
            </w:pPr>
            <w:r>
              <w:rPr>
                <w:rFonts w:hint="eastAsia" w:asciiTheme="minorEastAsia" w:hAnsiTheme="minorEastAsia" w:eastAsiaTheme="minorEastAsia" w:cstheme="minorBidi"/>
                <w:sz w:val="24"/>
              </w:rPr>
              <w:t>支持自主预约单内容的自定义，包含但不限于以下内容项目名称、项目负责人、项目编号、样品类型、实验内容。</w:t>
            </w:r>
          </w:p>
          <w:p>
            <w:pPr>
              <w:pStyle w:val="6"/>
              <w:numPr>
                <w:ilvl w:val="0"/>
                <w:numId w:val="6"/>
              </w:numPr>
              <w:ind w:firstLineChars="0"/>
              <w:rPr>
                <w:sz w:val="24"/>
              </w:rPr>
            </w:pPr>
            <w:r>
              <w:rPr>
                <w:rFonts w:hint="eastAsia" w:asciiTheme="minorEastAsia" w:hAnsiTheme="minorEastAsia" w:eastAsiaTheme="minorEastAsia" w:cstheme="minorBidi"/>
                <w:sz w:val="24"/>
              </w:rPr>
              <w:t>支持自主预约管控功能，用户必须通过仪器培训后，才有权预约仪器。</w:t>
            </w:r>
          </w:p>
          <w:p>
            <w:pPr>
              <w:pStyle w:val="6"/>
              <w:numPr>
                <w:ilvl w:val="0"/>
                <w:numId w:val="6"/>
              </w:numPr>
              <w:ind w:firstLineChars="0"/>
              <w:rPr>
                <w:sz w:val="24"/>
              </w:rPr>
            </w:pPr>
            <w:r>
              <w:rPr>
                <w:rFonts w:hint="eastAsia" w:asciiTheme="minorEastAsia" w:hAnsiTheme="minorEastAsia" w:eastAsiaTheme="minorEastAsia" w:cstheme="minorBidi"/>
                <w:sz w:val="24"/>
              </w:rPr>
              <w:t>支持自主预约审批进度查看，用户可在消息提醒栏中查看。</w:t>
            </w:r>
          </w:p>
          <w:p>
            <w:pPr>
              <w:pStyle w:val="6"/>
              <w:numPr>
                <w:ilvl w:val="0"/>
                <w:numId w:val="6"/>
              </w:numPr>
              <w:ind w:firstLineChars="0"/>
              <w:rPr>
                <w:sz w:val="24"/>
              </w:rPr>
            </w:pPr>
            <w:r>
              <w:rPr>
                <w:rFonts w:hint="eastAsia"/>
                <w:sz w:val="24"/>
              </w:rPr>
              <w:t>支持消息提醒功能，包括但不限于预约成功提醒、预约修改提醒。</w:t>
            </w:r>
          </w:p>
          <w:p>
            <w:pPr>
              <w:pStyle w:val="6"/>
              <w:numPr>
                <w:ilvl w:val="0"/>
                <w:numId w:val="6"/>
              </w:numPr>
              <w:ind w:firstLineChars="0"/>
              <w:rPr>
                <w:sz w:val="24"/>
              </w:rPr>
            </w:pPr>
            <w:r>
              <w:rPr>
                <w:rFonts w:hint="eastAsia" w:asciiTheme="minorEastAsia" w:hAnsiTheme="minorEastAsia" w:eastAsiaTheme="minorEastAsia" w:cstheme="minorBidi"/>
                <w:sz w:val="24"/>
              </w:rPr>
              <w:t>支持仪器可预约时间及可提前多久进行预约配置，支持预约最晚修改、删除时间设置。</w:t>
            </w:r>
          </w:p>
          <w:p>
            <w:pPr>
              <w:pStyle w:val="6"/>
              <w:numPr>
                <w:ilvl w:val="0"/>
                <w:numId w:val="6"/>
              </w:numPr>
              <w:ind w:firstLineChars="0"/>
              <w:rPr>
                <w:sz w:val="24"/>
              </w:rPr>
            </w:pPr>
            <w:r>
              <w:rPr>
                <w:rFonts w:hint="eastAsia" w:asciiTheme="minorEastAsia" w:hAnsiTheme="minorEastAsia" w:eastAsiaTheme="minorEastAsia" w:cstheme="minorBidi"/>
                <w:sz w:val="24"/>
              </w:rPr>
              <w:t>支持仪器可预约时间设置，如：可在工作时间预约和使用，可在某一天或某个时间段给特定用户开放使用。</w:t>
            </w:r>
          </w:p>
          <w:p>
            <w:pPr>
              <w:pStyle w:val="6"/>
              <w:numPr>
                <w:ilvl w:val="0"/>
                <w:numId w:val="6"/>
              </w:numPr>
              <w:ind w:firstLineChars="0"/>
              <w:rPr>
                <w:sz w:val="24"/>
              </w:rPr>
            </w:pPr>
            <w:r>
              <w:rPr>
                <w:rFonts w:hint="eastAsia"/>
                <w:sz w:val="24"/>
              </w:rPr>
              <w:t>支持特定用户的预约权限设置，此类用户可不受预约时间限制，可在任意时间进行预约。</w:t>
            </w:r>
          </w:p>
          <w:p>
            <w:pPr>
              <w:pStyle w:val="6"/>
              <w:numPr>
                <w:ilvl w:val="0"/>
                <w:numId w:val="6"/>
              </w:numPr>
              <w:ind w:firstLineChars="0"/>
              <w:rPr>
                <w:sz w:val="24"/>
              </w:rPr>
            </w:pPr>
            <w:r>
              <w:rPr>
                <w:rFonts w:hint="eastAsia"/>
                <w:sz w:val="24"/>
              </w:rPr>
              <w:t>支持用户查看当前仪器的预约记录，支持用户查看自己预约记录。</w:t>
            </w:r>
          </w:p>
          <w:p>
            <w:pPr>
              <w:pStyle w:val="6"/>
              <w:numPr>
                <w:ilvl w:val="0"/>
                <w:numId w:val="6"/>
              </w:numPr>
              <w:ind w:firstLineChars="0"/>
              <w:rPr>
                <w:sz w:val="24"/>
              </w:rPr>
            </w:pPr>
            <w:r>
              <w:rPr>
                <w:rFonts w:hint="eastAsia"/>
                <w:sz w:val="24"/>
              </w:rPr>
              <w:t>支持预约合并功能，可将同一用户不连续时间段的预约合并为连续时间段预约。</w:t>
            </w:r>
          </w:p>
          <w:p>
            <w:pPr>
              <w:pStyle w:val="6"/>
              <w:numPr>
                <w:ilvl w:val="0"/>
                <w:numId w:val="6"/>
              </w:numPr>
              <w:ind w:firstLineChars="0"/>
              <w:rPr>
                <w:sz w:val="24"/>
              </w:rPr>
            </w:pPr>
            <w:r>
              <w:rPr>
                <w:rFonts w:hint="eastAsia"/>
                <w:sz w:val="24"/>
              </w:rPr>
              <w:t>支持自定义仪器预约规则设置，如按时间、用户、仪器类型、使用时长。</w:t>
            </w:r>
          </w:p>
          <w:p>
            <w:pPr>
              <w:pStyle w:val="6"/>
              <w:numPr>
                <w:ilvl w:val="0"/>
                <w:numId w:val="6"/>
              </w:numPr>
              <w:ind w:firstLineChars="0"/>
              <w:rPr>
                <w:sz w:val="24"/>
              </w:rPr>
            </w:pPr>
            <w:r>
              <w:rPr>
                <w:rFonts w:hint="eastAsia"/>
                <w:sz w:val="24"/>
              </w:rPr>
              <w:t>支持单位预约时长配置，单位预约时长可按仪器种类、单个样品测试的时长配置，用户预约时长为单位预约时长的倍数。</w:t>
            </w:r>
          </w:p>
          <w:p>
            <w:pPr>
              <w:pStyle w:val="6"/>
              <w:numPr>
                <w:ilvl w:val="0"/>
                <w:numId w:val="6"/>
              </w:numPr>
              <w:ind w:firstLineChars="0"/>
              <w:rPr>
                <w:sz w:val="24"/>
              </w:rPr>
            </w:pPr>
            <w:r>
              <w:rPr>
                <w:rFonts w:hint="eastAsia"/>
                <w:sz w:val="24"/>
              </w:rPr>
              <w:t>支持用户同一天预约时长上限管控，即超过预约最大时长当天不可再预约。</w:t>
            </w:r>
          </w:p>
          <w:p>
            <w:pPr>
              <w:pStyle w:val="6"/>
              <w:numPr>
                <w:ilvl w:val="0"/>
                <w:numId w:val="6"/>
              </w:numPr>
              <w:ind w:firstLineChars="0"/>
              <w:rPr>
                <w:sz w:val="24"/>
              </w:rPr>
            </w:pPr>
            <w:r>
              <w:rPr>
                <w:rFonts w:hint="eastAsia"/>
                <w:sz w:val="24"/>
              </w:rPr>
              <w:t>支持仪器预约未使用的爽约记录功能，自动生成未使用记录，作为用户使用违约依据。</w:t>
            </w:r>
          </w:p>
          <w:p>
            <w:pPr>
              <w:pStyle w:val="6"/>
              <w:numPr>
                <w:ilvl w:val="0"/>
                <w:numId w:val="6"/>
              </w:numPr>
              <w:ind w:firstLineChars="0"/>
              <w:rPr>
                <w:sz w:val="24"/>
              </w:rPr>
            </w:pPr>
            <w:r>
              <w:rPr>
                <w:rFonts w:hint="eastAsia"/>
                <w:sz w:val="24"/>
              </w:rPr>
              <w:t>支持迟到记录功能，可设置迟到多长时间即为迟到，迟到后是否可继续使用仪器，系统自动记录迟到次数。</w:t>
            </w:r>
          </w:p>
          <w:p>
            <w:pPr>
              <w:pStyle w:val="6"/>
              <w:numPr>
                <w:ilvl w:val="0"/>
                <w:numId w:val="6"/>
              </w:numPr>
              <w:ind w:firstLineChars="0"/>
              <w:rPr>
                <w:sz w:val="24"/>
              </w:rPr>
            </w:pPr>
            <w:r>
              <w:rPr>
                <w:rFonts w:hint="eastAsia"/>
                <w:sz w:val="24"/>
              </w:rPr>
              <w:t>支持仪器开机预热和关机冷却时间配置，可有效统计用户真实上机使用时长。</w:t>
            </w:r>
          </w:p>
          <w:p>
            <w:pPr>
              <w:pStyle w:val="6"/>
              <w:numPr>
                <w:ilvl w:val="0"/>
                <w:numId w:val="6"/>
              </w:numPr>
              <w:ind w:firstLineChars="0"/>
              <w:rPr>
                <w:sz w:val="24"/>
              </w:rPr>
            </w:pPr>
            <w:r>
              <w:rPr>
                <w:rFonts w:hint="eastAsia"/>
                <w:sz w:val="24"/>
              </w:rPr>
              <w:t>支持断网或网络异常时，预约信息备份功能，可自动记录N天内预约信息（N可配置），网络恢复后可同步。</w:t>
            </w:r>
          </w:p>
          <w:p>
            <w:pPr>
              <w:pStyle w:val="6"/>
              <w:numPr>
                <w:ilvl w:val="0"/>
                <w:numId w:val="6"/>
              </w:numPr>
              <w:ind w:firstLineChars="0"/>
              <w:rPr>
                <w:sz w:val="24"/>
              </w:rPr>
            </w:pPr>
            <w:r>
              <w:rPr>
                <w:rFonts w:hint="eastAsia"/>
                <w:sz w:val="24"/>
              </w:rPr>
              <w:t>支持非预约时间段设置功能，由仪器负责人设置不对外开放时间段。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仪器设备管理</w:t>
            </w:r>
          </w:p>
        </w:tc>
        <w:tc>
          <w:tcPr>
            <w:tcW w:w="8050" w:type="dxa"/>
            <w:vAlign w:val="center"/>
          </w:tcPr>
          <w:p>
            <w:pPr>
              <w:pStyle w:val="6"/>
              <w:numPr>
                <w:ilvl w:val="0"/>
                <w:numId w:val="7"/>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支持仪器设备信息管理，可查看、新增、修改、删除仪器资料。</w:t>
            </w:r>
          </w:p>
          <w:p>
            <w:pPr>
              <w:pStyle w:val="6"/>
              <w:numPr>
                <w:ilvl w:val="0"/>
                <w:numId w:val="7"/>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支持多条件检索查询仪器设备，便于用户自主查看或预约仪器设备。</w:t>
            </w:r>
          </w:p>
          <w:p>
            <w:pPr>
              <w:pStyle w:val="6"/>
              <w:numPr>
                <w:ilvl w:val="0"/>
                <w:numId w:val="7"/>
              </w:numPr>
              <w:ind w:firstLineChars="0"/>
              <w:rPr>
                <w:rFonts w:asciiTheme="minorEastAsia" w:hAnsiTheme="minorEastAsia" w:eastAsiaTheme="minorEastAsia" w:cstheme="minorBidi"/>
                <w:sz w:val="24"/>
              </w:rPr>
            </w:pPr>
            <w:r>
              <w:rPr>
                <w:rFonts w:hint="eastAsia" w:ascii="宋体" w:hAnsi="宋体" w:cs="宋体"/>
                <w:sz w:val="24"/>
              </w:rPr>
              <w:t>支持多级仪器设备管理，即提供多人和多种级别的管理负责方式。</w:t>
            </w:r>
          </w:p>
          <w:p>
            <w:pPr>
              <w:pStyle w:val="6"/>
              <w:numPr>
                <w:ilvl w:val="0"/>
                <w:numId w:val="7"/>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支持按机构、用户级别设定仪器查看及使用权限，即不同机构或不同级别的用户仅能查看或使用所属机构或符合共享条件的仪器。</w:t>
            </w:r>
          </w:p>
          <w:p>
            <w:pPr>
              <w:pStyle w:val="6"/>
              <w:numPr>
                <w:ilvl w:val="0"/>
                <w:numId w:val="7"/>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rPr>
              <w:t>支持仪器分类标签设置，便于仪器查看、搜索、预约、使用。</w:t>
            </w:r>
          </w:p>
          <w:p>
            <w:pPr>
              <w:pStyle w:val="6"/>
              <w:numPr>
                <w:ilvl w:val="0"/>
                <w:numId w:val="7"/>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highlight w:val="none"/>
                <w:lang w:val="en-US" w:eastAsia="zh-CN"/>
              </w:rPr>
              <w:t>支持提供配套仪器电源控制器，控制仪器预约开关机。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培训管理</w:t>
            </w:r>
          </w:p>
        </w:tc>
        <w:tc>
          <w:tcPr>
            <w:tcW w:w="8050" w:type="dxa"/>
            <w:vAlign w:val="center"/>
          </w:tcPr>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支持仪器培训信息管理，可查看、新增、修改仪器培训内容，可查看、修改培训人员信息。</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支持仪器培训管理，包括线上仪器培训、线下仪器培训。</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支持培训资料管理，可自行发布仪器、实验室管理等培训资料。</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支持按文章、图片、视频、附件的多种形式发布培训资料。</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支持按章节分级管理培训资料。</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支持浏览收藏培训资料功能，便于用户后续查阅。</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支持仪器培训有效原则，可设定有效日期，过期后需重新培训。</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支持线下仪器培训签到功能，支持线下培训结果保存，可查看线下培训签到及通过情况，</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支持线上、线下仪器培训/授权设置，即需要培训考核后方可预约、使用的仪器设备，未通过培训无法预约使用仪器。</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支持线下、线上仪器培训/授权管控提示，如：“用户仪器需要培训才可使用，若为培训，请申请培训”。</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支持线上培训题库管理，可以Excel批量题目导入，也可单个添加题目。</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支持题目编辑权限管理，仅有创建题目人员有权编辑题目。</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支持多种题目类型，如单选、多选、判断等。</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支持题目可按知识点管理，按知识点标识题目，方便按知识点组卷或考试。</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支持在线刷题功能，可收藏题目。</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支持人工组卷或随机组卷两种试卷管理方式。</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支持按不同题库类型、不同比例随机抽选题目进行随机组卷。</w:t>
            </w:r>
          </w:p>
          <w:p>
            <w:pPr>
              <w:pStyle w:val="6"/>
              <w:numPr>
                <w:ilvl w:val="0"/>
                <w:numId w:val="8"/>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rPr>
              <w:t>支持试卷管理，可设置试卷所属分组，可设置试卷可见范围，所属分组或可见范围的成员有权对试卷进行编辑。</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支持自动生成成绩证书，可下载、打印成绩证书。</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支持成绩证书模板管理，管理员可对证书文字、格式、背景图进行编辑。</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支持考试发布信息管理，包括但不限于考前学习资料、考试范围、考试人员范围、考前学习时长、考试规则。</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支持待考列表信息管理，可查看待考科目、时间、地点等信息。</w:t>
            </w:r>
          </w:p>
          <w:p>
            <w:pPr>
              <w:pStyle w:val="6"/>
              <w:numPr>
                <w:ilvl w:val="0"/>
                <w:numId w:val="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支持考试规则设置，包括但不限于考前需完成多少学习时长、是否可多次考试、强制收卷、提前交卷、补考。</w:t>
            </w:r>
          </w:p>
          <w:p>
            <w:pPr>
              <w:pStyle w:val="6"/>
              <w:numPr>
                <w:ilvl w:val="0"/>
                <w:numId w:val="8"/>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rPr>
              <w:t>支持考试掉线回复功能，即因某种原因导致考试掉线，用户重新登录后，可自动恢复答题数据。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计费管理</w:t>
            </w:r>
          </w:p>
        </w:tc>
        <w:tc>
          <w:tcPr>
            <w:tcW w:w="8050" w:type="dxa"/>
            <w:vAlign w:val="center"/>
          </w:tcPr>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支持仪器预约的全流程计费管理，包括但不限于预约申请计费、上机使用计费、样本测试计费。</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支持仪器自动计算实际费用功能，按不同用户、试剂耗材、机时、检测次数等设置仪器设备自动计算费用规则。</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支持多种计费方式，包括但不限于按预约计费、按实际使用时间计费、按样品数计费。</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支持财务收费管理功能，包括但不限于费用结算、费用充值。</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支持仪器设备使用进行实时结算功能，可按人员、机构、仪器设备等不同类别进行明细报表输出。</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支持管理员对不同用户的财务管理功能，可提前基于某些课题组一定的信用额度。</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支持定期向项目负责人发送财务报表功能，支持按照实验室实际管理情况进行财务分账功能，自动返还。</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支持财务明细报表打印及导出功能，可按照人员、组织、仪器等条件进行处理。</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支持爽约计费标识，用户可查询爽约计费条目，管理员可打印或导出所有仪器爽约计费记录。</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支持财务报销管理，可采用后报销方式。</w:t>
            </w:r>
          </w:p>
          <w:p>
            <w:pPr>
              <w:pStyle w:val="6"/>
              <w:numPr>
                <w:ilvl w:val="0"/>
                <w:numId w:val="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支持课题组的经费管理，支持经费授权、二次授权管理。</w:t>
            </w:r>
          </w:p>
          <w:p>
            <w:pPr>
              <w:pStyle w:val="6"/>
              <w:numPr>
                <w:ilvl w:val="0"/>
                <w:numId w:val="9"/>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rPr>
              <w:t>支持对课题组经费使用的全程监控管理，支持经费数据统计功能。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科研成果管理</w:t>
            </w:r>
          </w:p>
        </w:tc>
        <w:tc>
          <w:tcPr>
            <w:tcW w:w="8050" w:type="dxa"/>
            <w:vAlign w:val="center"/>
          </w:tcPr>
          <w:p>
            <w:pPr>
              <w:pStyle w:val="6"/>
              <w:numPr>
                <w:ilvl w:val="0"/>
                <w:numId w:val="10"/>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支持以科室/机构/课题组/个人上传科研成果，成果可对应预约使用的仪器设备。</w:t>
            </w:r>
          </w:p>
          <w:p>
            <w:pPr>
              <w:pStyle w:val="6"/>
              <w:numPr>
                <w:ilvl w:val="0"/>
                <w:numId w:val="10"/>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支持科研文章的上传，包括但不限于期刊名称、期刊第几期、期刊卷。</w:t>
            </w:r>
          </w:p>
          <w:p>
            <w:pPr>
              <w:pStyle w:val="6"/>
              <w:numPr>
                <w:ilvl w:val="0"/>
                <w:numId w:val="10"/>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支持专利的上传，包括但不限于国内外专利、专利名称、专利号。</w:t>
            </w:r>
          </w:p>
          <w:p>
            <w:pPr>
              <w:pStyle w:val="6"/>
              <w:numPr>
                <w:ilvl w:val="0"/>
                <w:numId w:val="10"/>
              </w:numPr>
              <w:ind w:firstLineChars="0"/>
              <w:rPr>
                <w:rFonts w:asciiTheme="minorEastAsia" w:hAnsiTheme="minorEastAsia" w:eastAsiaTheme="minorEastAsia" w:cstheme="minorBidi"/>
                <w:color w:val="0070C0"/>
                <w:sz w:val="24"/>
              </w:rPr>
            </w:pPr>
            <w:r>
              <w:rPr>
                <w:rFonts w:hint="eastAsia" w:asciiTheme="minorEastAsia" w:hAnsiTheme="minorEastAsia" w:eastAsiaTheme="minorEastAsia" w:cstheme="minorBidi"/>
                <w:sz w:val="24"/>
              </w:rPr>
              <w:t>支持科研成果的审核管理，支持管理员根据科研成果等级制定嘉奖政策，对用户预约仪器实施相应的折扣。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实验数据管理</w:t>
            </w:r>
          </w:p>
        </w:tc>
        <w:tc>
          <w:tcPr>
            <w:tcW w:w="8050" w:type="dxa"/>
            <w:vAlign w:val="center"/>
          </w:tcPr>
          <w:p>
            <w:pPr>
              <w:pStyle w:val="6"/>
              <w:numPr>
                <w:ilvl w:val="0"/>
                <w:numId w:val="11"/>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支持实验数据安全性保护，可保证加密通讯的同时实现资源共享，可防止数据丢失或电脑病毒传染。</w:t>
            </w:r>
          </w:p>
          <w:p>
            <w:pPr>
              <w:pStyle w:val="6"/>
              <w:numPr>
                <w:ilvl w:val="0"/>
                <w:numId w:val="11"/>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支持实验室数据、文件等资料快速安全的上传、下载功能。</w:t>
            </w:r>
          </w:p>
          <w:p>
            <w:pPr>
              <w:pStyle w:val="6"/>
              <w:numPr>
                <w:ilvl w:val="0"/>
                <w:numId w:val="11"/>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支持管理员对实验室数据的管理，即管理员有权定时清理超出既定时间的实验数据。</w:t>
            </w:r>
          </w:p>
          <w:p>
            <w:pPr>
              <w:pStyle w:val="6"/>
              <w:numPr>
                <w:ilvl w:val="0"/>
                <w:numId w:val="11"/>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支持管理员对文件的管理，包括但不限于账户存储量、开通/关闭用户的文件共享系统权限。</w:t>
            </w:r>
          </w:p>
          <w:p>
            <w:pPr>
              <w:pStyle w:val="6"/>
              <w:numPr>
                <w:ilvl w:val="0"/>
                <w:numId w:val="11"/>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支持用户文件管理，系统可为用户设置个人文件夹。</w:t>
            </w:r>
          </w:p>
          <w:p>
            <w:pPr>
              <w:pStyle w:val="6"/>
              <w:numPr>
                <w:ilvl w:val="0"/>
                <w:numId w:val="11"/>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支持公共文件夹管理，管理员可给用户共享文档。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物料及危化品管理</w:t>
            </w:r>
          </w:p>
        </w:tc>
        <w:tc>
          <w:tcPr>
            <w:tcW w:w="8050" w:type="dxa"/>
            <w:vAlign w:val="center"/>
          </w:tcPr>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支持多种方式获取物料信息，可从院内采购系统中获取，可以Excel形式导入，且支持手动添加物料信息。</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支持物料信息管理，包括但不限于物料名称、类型、编号、品牌、批号、货号、规格、厂家、所属科室或/机构/个人。</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支持物料的全流程管理，包括但不限于物料入库、领用、出库、归还、回收。</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支持自动生成条形码/二维码，包括物料名称、类型、编号、所属科室等信息。</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支持物料的台账信息管理，可按照固定格式打印台账信息。</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支持扫码、数据导入、手动输入等物料入库方式，同时记录入库时间、入库人员、入库位置等信息。</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支持扫码、手动输入等物料出库方式，同时记录出库时间、出库人、领用时间、领用人员等信息。</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支持记录物料是否归还、归还时间、归还人员、回收时间、回收人员等信息。</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支持物料存储位置的管理，物料入库时自动分配存储位置，并生成/打印入库存储单。</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支持存储位置的创建，创建内容包括物品类型、负责人、库存位置（货架号、层数、行数等）。</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支持遵循化学品存放互斥原则，可配置相应规则。</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支持按存储位置查看所存储物品信息，支持按物品类型查看相应的存储位置，可查看物品的领用归还台账信息。</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支持物品的调剂功能，即课题组/科室/机构不用或多余的物品，经课题组/科室/机构同意，可调剂给其他课题组/科室/机构使用。</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支持危废物品的管理，包括但不限于废物名称、种类、数量、规格、生成时间、处置方式、临时存放位置、是否危险。</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支持危废物品处理的日志管理，记录危废物品的操作日志。</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支持危废物品回收扫码管理，使用者扫描相应的存放装置条形码，填写危废物品信息。</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支持按多维度条件查询、统计危废物品数量、种类、所属科室/机构/个人等信息。</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支持实验室物料存量的上限设置，通过上限数值控制某种/某类物品当前库存数量。</w:t>
            </w:r>
          </w:p>
          <w:p>
            <w:pPr>
              <w:pStyle w:val="6"/>
              <w:numPr>
                <w:ilvl w:val="0"/>
                <w:numId w:val="12"/>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支持物料库存统计功能，可按科室/机构/课题组、物品类型等条件查询统计库存量、入库量、使用情况等，可导出统计结果。</w:t>
            </w:r>
          </w:p>
          <w:p>
            <w:pPr>
              <w:pStyle w:val="6"/>
              <w:numPr>
                <w:ilvl w:val="0"/>
                <w:numId w:val="12"/>
              </w:numPr>
              <w:ind w:firstLineChars="0"/>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sz w:val="24"/>
              </w:rPr>
              <w:t>支持物料库存排序功能，可按物品有效期进行排序，有效期最近的排在最前。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门禁管理</w:t>
            </w:r>
          </w:p>
        </w:tc>
        <w:tc>
          <w:tcPr>
            <w:tcW w:w="8050" w:type="dxa"/>
            <w:vAlign w:val="center"/>
          </w:tcPr>
          <w:p>
            <w:pPr>
              <w:pStyle w:val="6"/>
              <w:numPr>
                <w:ilvl w:val="0"/>
                <w:numId w:val="13"/>
              </w:numPr>
              <w:ind w:firstLineChars="0"/>
              <w:rPr>
                <w:rFonts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rPr>
              <w:t>支持</w:t>
            </w:r>
            <w:r>
              <w:rPr>
                <w:rFonts w:hint="eastAsia" w:asciiTheme="minorEastAsia" w:hAnsiTheme="minorEastAsia" w:eastAsiaTheme="minorEastAsia" w:cstheme="minorBidi"/>
                <w:sz w:val="24"/>
                <w:highlight w:val="none"/>
                <w:lang w:val="en-US" w:eastAsia="zh-CN"/>
              </w:rPr>
              <w:t>提供配套</w:t>
            </w:r>
            <w:r>
              <w:rPr>
                <w:rFonts w:hint="eastAsia" w:asciiTheme="minorEastAsia" w:hAnsiTheme="minorEastAsia" w:eastAsiaTheme="minorEastAsia" w:cstheme="minorBidi"/>
                <w:sz w:val="24"/>
                <w:highlight w:val="none"/>
              </w:rPr>
              <w:t>门禁</w:t>
            </w:r>
            <w:r>
              <w:rPr>
                <w:rFonts w:hint="eastAsia" w:asciiTheme="minorEastAsia" w:hAnsiTheme="minorEastAsia" w:eastAsiaTheme="minorEastAsia" w:cstheme="minorBidi"/>
                <w:sz w:val="24"/>
                <w:highlight w:val="none"/>
                <w:lang w:val="en-US" w:eastAsia="zh-CN"/>
              </w:rPr>
              <w:t>/电子门牌</w:t>
            </w:r>
            <w:r>
              <w:rPr>
                <w:rFonts w:hint="eastAsia" w:asciiTheme="minorEastAsia" w:hAnsiTheme="minorEastAsia" w:eastAsiaTheme="minorEastAsia" w:cstheme="minorBidi"/>
                <w:sz w:val="24"/>
                <w:highlight w:val="none"/>
              </w:rPr>
              <w:t>软</w:t>
            </w:r>
            <w:r>
              <w:rPr>
                <w:rFonts w:hint="eastAsia" w:asciiTheme="minorEastAsia" w:hAnsiTheme="minorEastAsia" w:eastAsiaTheme="minorEastAsia" w:cstheme="minorBidi"/>
                <w:sz w:val="24"/>
                <w:highlight w:val="none"/>
                <w:lang w:val="en-US" w:eastAsia="zh-CN"/>
              </w:rPr>
              <w:t>硬</w:t>
            </w:r>
            <w:r>
              <w:rPr>
                <w:rFonts w:hint="eastAsia" w:asciiTheme="minorEastAsia" w:hAnsiTheme="minorEastAsia" w:eastAsiaTheme="minorEastAsia" w:cstheme="minorBidi"/>
                <w:sz w:val="24"/>
                <w:highlight w:val="none"/>
              </w:rPr>
              <w:t>件</w:t>
            </w:r>
            <w:r>
              <w:rPr>
                <w:rFonts w:hint="eastAsia" w:asciiTheme="minorEastAsia" w:hAnsiTheme="minorEastAsia" w:eastAsiaTheme="minorEastAsia" w:cstheme="minorBidi"/>
                <w:sz w:val="24"/>
                <w:highlight w:val="none"/>
                <w:lang w:eastAsia="zh-CN"/>
              </w:rPr>
              <w:t>，</w:t>
            </w:r>
            <w:r>
              <w:rPr>
                <w:rFonts w:hint="eastAsia" w:asciiTheme="minorEastAsia" w:hAnsiTheme="minorEastAsia" w:eastAsiaTheme="minorEastAsia" w:cstheme="minorBidi"/>
                <w:sz w:val="24"/>
                <w:highlight w:val="none"/>
                <w:lang w:val="en-US" w:eastAsia="zh-CN"/>
              </w:rPr>
              <w:t>可与门禁软件</w:t>
            </w:r>
            <w:r>
              <w:rPr>
                <w:rFonts w:hint="eastAsia" w:asciiTheme="minorEastAsia" w:hAnsiTheme="minorEastAsia" w:eastAsiaTheme="minorEastAsia" w:cstheme="minorBidi"/>
                <w:sz w:val="24"/>
                <w:highlight w:val="none"/>
              </w:rPr>
              <w:t>进行信息对接，可将门禁权限与实验室准入考试、仪器预约、权限时效性相关联，非授权用户、预约时间未到、黑名单用户等都将无法刷卡/识别开门。</w:t>
            </w:r>
          </w:p>
          <w:p>
            <w:pPr>
              <w:pStyle w:val="6"/>
              <w:numPr>
                <w:ilvl w:val="0"/>
                <w:numId w:val="1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支持刷卡、人脸识别的门禁管理，兼容医院工卡。</w:t>
            </w:r>
          </w:p>
          <w:p>
            <w:pPr>
              <w:pStyle w:val="6"/>
              <w:numPr>
                <w:ilvl w:val="0"/>
                <w:numId w:val="1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支持门禁日志记录，包括人员、刷卡/识别时间、刷卡次数等。</w:t>
            </w:r>
          </w:p>
          <w:p>
            <w:pPr>
              <w:pStyle w:val="6"/>
              <w:numPr>
                <w:ilvl w:val="0"/>
                <w:numId w:val="1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支持门禁开关权限分配，可远程控制实验室门禁，实现远程开关门。</w:t>
            </w:r>
          </w:p>
          <w:p>
            <w:pPr>
              <w:pStyle w:val="6"/>
              <w:numPr>
                <w:ilvl w:val="0"/>
                <w:numId w:val="1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支持仪器预约用户可实现身份在线认证，且只用在预约时间段可出入实验室。</w:t>
            </w:r>
          </w:p>
          <w:p>
            <w:pPr>
              <w:pStyle w:val="6"/>
              <w:numPr>
                <w:ilvl w:val="0"/>
                <w:numId w:val="13"/>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支持离线认证存储功能，网络不佳或断网的情况下，保证用户可出入实验室，网络恢复后，进行信息同步。</w:t>
            </w:r>
          </w:p>
          <w:p>
            <w:pPr>
              <w:pStyle w:val="6"/>
              <w:numPr>
                <w:ilvl w:val="0"/>
                <w:numId w:val="13"/>
              </w:numPr>
              <w:ind w:firstLineChars="0"/>
              <w:rPr>
                <w:rFonts w:asciiTheme="minorEastAsia" w:hAnsiTheme="minorEastAsia" w:eastAsiaTheme="minorEastAsia" w:cstheme="minorBidi"/>
                <w:color w:val="0070C0"/>
                <w:sz w:val="24"/>
              </w:rPr>
            </w:pPr>
            <w:r>
              <w:rPr>
                <w:rFonts w:hint="eastAsia" w:asciiTheme="minorEastAsia" w:hAnsiTheme="minorEastAsia" w:eastAsiaTheme="minorEastAsia" w:cstheme="minorBidi"/>
                <w:sz w:val="24"/>
              </w:rPr>
              <w:t>支持特权卡的使用，可给用户授权指定实验室，在网络发生故障时，可使用特权卡开启门禁。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视频监控管理</w:t>
            </w:r>
          </w:p>
        </w:tc>
        <w:tc>
          <w:tcPr>
            <w:tcW w:w="8050" w:type="dxa"/>
            <w:vAlign w:val="center"/>
          </w:tcPr>
          <w:p>
            <w:pPr>
              <w:pStyle w:val="6"/>
              <w:numPr>
                <w:ilvl w:val="0"/>
                <w:numId w:val="14"/>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支持视频监控管理，可实时查看实验室内视频监控信息。</w:t>
            </w:r>
          </w:p>
          <w:p>
            <w:pPr>
              <w:pStyle w:val="6"/>
              <w:numPr>
                <w:ilvl w:val="0"/>
                <w:numId w:val="14"/>
              </w:numPr>
              <w:ind w:firstLineChars="0"/>
              <w:rPr>
                <w:rFonts w:asciiTheme="minorEastAsia" w:hAnsiTheme="minorEastAsia" w:eastAsiaTheme="minorEastAsia" w:cstheme="minorBidi"/>
                <w:color w:val="0070C0"/>
                <w:sz w:val="24"/>
              </w:rPr>
            </w:pPr>
            <w:r>
              <w:rPr>
                <w:rFonts w:hint="eastAsia" w:asciiTheme="minorEastAsia" w:hAnsiTheme="minorEastAsia" w:eastAsiaTheme="minorEastAsia" w:cstheme="minorBidi"/>
                <w:sz w:val="24"/>
              </w:rPr>
              <w:t>支持与视频监控软件进行对接，可实时查看实验室动态，管控实验室全过程。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9" w:hRule="atLeast"/>
          <w:jc w:val="center"/>
        </w:trPr>
        <w:tc>
          <w:tcPr>
            <w:tcW w:w="1319" w:type="dxa"/>
          </w:tcPr>
          <w:p>
            <w:pPr>
              <w:numPr>
                <w:ilvl w:val="0"/>
                <w:numId w:val="2"/>
              </w:numPr>
              <w:spacing w:line="360" w:lineRule="auto"/>
              <w:rPr>
                <w:rFonts w:hint="eastAsia" w:asciiTheme="minorEastAsia" w:hAnsiTheme="minorEastAsia" w:eastAsiaTheme="minorEastAsia" w:cstheme="minorBidi"/>
                <w:color w:val="000000" w:themeColor="text1"/>
                <w:sz w:val="24"/>
                <w:highlight w:val="yellow"/>
                <w14:textFill>
                  <w14:solidFill>
                    <w14:schemeClr w14:val="tx1"/>
                  </w14:solidFill>
                </w14:textFill>
              </w:rPr>
            </w:pPr>
            <w:bookmarkStart w:id="0" w:name="_GoBack" w:colFirst="0" w:colLast="1"/>
            <w:r>
              <w:rPr>
                <w:rFonts w:hint="eastAsia" w:asciiTheme="minorEastAsia" w:hAnsiTheme="minorEastAsia" w:eastAsiaTheme="minorEastAsia" w:cstheme="minorBidi"/>
                <w:color w:val="000000" w:themeColor="text1"/>
                <w:sz w:val="24"/>
                <w:highlight w:val="yellow"/>
                <w:lang w:val="en-US" w:eastAsia="zh-CN"/>
                <w14:textFill>
                  <w14:solidFill>
                    <w14:schemeClr w14:val="tx1"/>
                  </w14:solidFill>
                </w14:textFill>
              </w:rPr>
              <w:t>中控可视化管理模块</w:t>
            </w:r>
          </w:p>
        </w:tc>
        <w:tc>
          <w:tcPr>
            <w:tcW w:w="8050" w:type="dxa"/>
            <w:vAlign w:val="center"/>
          </w:tcPr>
          <w:p>
            <w:pPr>
              <w:pStyle w:val="6"/>
              <w:numPr>
                <w:ilvl w:val="0"/>
                <w:numId w:val="15"/>
              </w:numPr>
              <w:ind w:firstLineChars="0"/>
              <w:rPr>
                <w:rFonts w:hint="eastAsia" w:asciiTheme="minorEastAsia" w:hAnsiTheme="minorEastAsia" w:eastAsiaTheme="minorEastAsia" w:cstheme="minorBidi"/>
                <w:sz w:val="24"/>
                <w:highlight w:val="yellow"/>
              </w:rPr>
            </w:pPr>
            <w:r>
              <w:rPr>
                <w:rFonts w:hint="eastAsia" w:asciiTheme="minorEastAsia" w:hAnsiTheme="minorEastAsia" w:eastAsiaTheme="minorEastAsia" w:cstheme="minorBidi"/>
                <w:sz w:val="24"/>
                <w:highlight w:val="yellow"/>
                <w:lang w:val="en-US" w:eastAsia="zh-CN"/>
              </w:rPr>
              <w:t>支持智能中控触屏展示，提供标准的开放接口，可实现多业务信息的集中展示。</w:t>
            </w:r>
          </w:p>
          <w:p>
            <w:pPr>
              <w:pStyle w:val="6"/>
              <w:numPr>
                <w:ilvl w:val="0"/>
                <w:numId w:val="15"/>
              </w:numPr>
              <w:ind w:firstLineChars="0"/>
              <w:rPr>
                <w:rFonts w:hint="eastAsia" w:asciiTheme="minorEastAsia" w:hAnsiTheme="minorEastAsia" w:eastAsiaTheme="minorEastAsia" w:cstheme="minorBidi"/>
                <w:sz w:val="24"/>
                <w:highlight w:val="yellow"/>
              </w:rPr>
            </w:pPr>
            <w:r>
              <w:rPr>
                <w:rFonts w:hint="eastAsia" w:asciiTheme="minorEastAsia" w:hAnsiTheme="minorEastAsia" w:eastAsiaTheme="minorEastAsia" w:cstheme="minorBidi"/>
                <w:sz w:val="24"/>
                <w:highlight w:val="yellow"/>
                <w:lang w:val="en-US" w:eastAsia="zh-CN"/>
              </w:rPr>
              <w:t>支持多种统计图展示。</w:t>
            </w:r>
          </w:p>
          <w:p>
            <w:pPr>
              <w:pStyle w:val="6"/>
              <w:numPr>
                <w:ilvl w:val="0"/>
                <w:numId w:val="15"/>
              </w:numPr>
              <w:ind w:firstLineChars="0"/>
              <w:rPr>
                <w:rFonts w:hint="eastAsia" w:asciiTheme="minorEastAsia" w:hAnsiTheme="minorEastAsia" w:eastAsiaTheme="minorEastAsia" w:cstheme="minorBidi"/>
                <w:sz w:val="24"/>
                <w:highlight w:val="yellow"/>
              </w:rPr>
            </w:pPr>
            <w:r>
              <w:rPr>
                <w:rFonts w:hint="eastAsia" w:asciiTheme="minorEastAsia" w:hAnsiTheme="minorEastAsia" w:eastAsiaTheme="minorEastAsia" w:cstheme="minorBidi"/>
                <w:sz w:val="24"/>
                <w:highlight w:val="yellow"/>
                <w:lang w:val="en-US" w:eastAsia="zh-CN"/>
              </w:rPr>
              <w:t>支持数据的模块化存放，各模块科根据客户需求灵活配置。</w:t>
            </w:r>
          </w:p>
          <w:p>
            <w:pPr>
              <w:pStyle w:val="6"/>
              <w:numPr>
                <w:ilvl w:val="0"/>
                <w:numId w:val="15"/>
              </w:numPr>
              <w:ind w:firstLineChars="0"/>
              <w:rPr>
                <w:rFonts w:hint="eastAsia" w:asciiTheme="minorEastAsia" w:hAnsiTheme="minorEastAsia" w:eastAsiaTheme="minorEastAsia" w:cstheme="minorBidi"/>
                <w:sz w:val="24"/>
                <w:highlight w:val="yellow"/>
              </w:rPr>
            </w:pPr>
            <w:r>
              <w:rPr>
                <w:rFonts w:hint="eastAsia" w:asciiTheme="minorEastAsia" w:hAnsiTheme="minorEastAsia" w:eastAsiaTheme="minorEastAsia" w:cstheme="minorBidi"/>
                <w:sz w:val="24"/>
                <w:highlight w:val="yellow"/>
                <w:lang w:val="en-US" w:eastAsia="zh-CN"/>
              </w:rPr>
              <w:t>支持数据模块拖拽至任意位置。</w:t>
            </w:r>
          </w:p>
          <w:p>
            <w:pPr>
              <w:pStyle w:val="6"/>
              <w:numPr>
                <w:ilvl w:val="0"/>
                <w:numId w:val="15"/>
              </w:numPr>
              <w:ind w:firstLineChars="0"/>
              <w:rPr>
                <w:rFonts w:hint="eastAsia" w:asciiTheme="minorEastAsia" w:hAnsiTheme="minorEastAsia" w:eastAsiaTheme="minorEastAsia" w:cstheme="minorBidi"/>
                <w:sz w:val="24"/>
                <w:highlight w:val="yellow"/>
              </w:rPr>
            </w:pPr>
            <w:r>
              <w:rPr>
                <w:rFonts w:hint="eastAsia" w:asciiTheme="minorEastAsia" w:hAnsiTheme="minorEastAsia" w:eastAsiaTheme="minorEastAsia" w:cstheme="minorBidi"/>
                <w:sz w:val="24"/>
                <w:highlight w:val="yellow"/>
                <w:lang w:val="en-US" w:eastAsia="zh-CN"/>
              </w:rPr>
              <w:t>此模块可自适用PC端、平板电脑移动端，支持数据查询、查看功能。</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数据查询统计</w:t>
            </w:r>
          </w:p>
        </w:tc>
        <w:tc>
          <w:tcPr>
            <w:tcW w:w="8050" w:type="dxa"/>
            <w:vAlign w:val="center"/>
          </w:tcPr>
          <w:p>
            <w:pPr>
              <w:pStyle w:val="6"/>
              <w:numPr>
                <w:ilvl w:val="0"/>
                <w:numId w:val="16"/>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支持按月、季度、年查询统计院内、院外注册人员数量、所属科室/课题组/机构和基本信息。</w:t>
            </w:r>
          </w:p>
          <w:p>
            <w:pPr>
              <w:pStyle w:val="6"/>
              <w:numPr>
                <w:ilvl w:val="0"/>
                <w:numId w:val="16"/>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支持按月、季度、年查询统计仪器预约及使用情况，包括但不限于仪器名称、预约人员、课题组/科室/机构、使用时长、费用、机时。</w:t>
            </w:r>
          </w:p>
          <w:p>
            <w:pPr>
              <w:pStyle w:val="6"/>
              <w:numPr>
                <w:ilvl w:val="0"/>
                <w:numId w:val="16"/>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支持按月、季度、年查询统计仪器培训记录，包括培训总次数，线上/线下培训人数、人次、通过人数、通过率、签到情况，资料学习人数、人次等。</w:t>
            </w:r>
          </w:p>
          <w:p>
            <w:pPr>
              <w:pStyle w:val="6"/>
              <w:numPr>
                <w:ilvl w:val="0"/>
                <w:numId w:val="16"/>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支持按月、季度、年查询统计门禁人次、时间、频率等。</w:t>
            </w:r>
          </w:p>
          <w:p>
            <w:pPr>
              <w:pStyle w:val="6"/>
              <w:numPr>
                <w:ilvl w:val="0"/>
                <w:numId w:val="16"/>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支持按月、季度、年查询统计送样测试、技术服务的订单数目、产生的费用、报告数量等。</w:t>
            </w:r>
          </w:p>
          <w:p>
            <w:pPr>
              <w:pStyle w:val="6"/>
              <w:numPr>
                <w:ilvl w:val="0"/>
                <w:numId w:val="16"/>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支持按月、季度、年查询统计危化品的种类、出入库、废弃等。</w:t>
            </w:r>
          </w:p>
          <w:p>
            <w:pPr>
              <w:pStyle w:val="6"/>
              <w:numPr>
                <w:ilvl w:val="0"/>
                <w:numId w:val="16"/>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支持以图表的形式显示各类查询统计，完成全局数据监控和数据化决策。</w:t>
            </w:r>
          </w:p>
          <w:p>
            <w:pPr>
              <w:pStyle w:val="6"/>
              <w:numPr>
                <w:ilvl w:val="0"/>
                <w:numId w:val="16"/>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支持根据实际需求，建立统计报表模板。</w:t>
            </w:r>
          </w:p>
          <w:p>
            <w:pPr>
              <w:pStyle w:val="6"/>
              <w:numPr>
                <w:ilvl w:val="0"/>
                <w:numId w:val="16"/>
              </w:numPr>
              <w:ind w:firstLineChars="0"/>
              <w:rPr>
                <w:rFonts w:asciiTheme="minorEastAsia" w:hAnsiTheme="minorEastAsia" w:eastAsiaTheme="minorEastAsia" w:cstheme="minorBidi"/>
                <w:color w:val="0070C0"/>
                <w:sz w:val="24"/>
              </w:rPr>
            </w:pPr>
            <w:r>
              <w:rPr>
                <w:rFonts w:hint="eastAsia" w:asciiTheme="minorEastAsia" w:hAnsiTheme="minorEastAsia" w:eastAsiaTheme="minorEastAsia" w:cstheme="minorBidi"/>
                <w:sz w:val="24"/>
              </w:rPr>
              <w:t>支持统计数据的可视化图表导出，支持.pdf、.jpg、连接等格式分享。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系统集成</w:t>
            </w:r>
          </w:p>
        </w:tc>
        <w:tc>
          <w:tcPr>
            <w:tcW w:w="8050" w:type="dxa"/>
            <w:vAlign w:val="center"/>
          </w:tcPr>
          <w:p>
            <w:pPr>
              <w:pStyle w:val="6"/>
              <w:numPr>
                <w:ilvl w:val="0"/>
                <w:numId w:val="17"/>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系统</w:t>
            </w:r>
            <w:r>
              <w:rPr>
                <w:rFonts w:asciiTheme="minorEastAsia" w:hAnsiTheme="minorEastAsia" w:eastAsiaTheme="minorEastAsia" w:cstheme="minorBidi"/>
                <w:sz w:val="24"/>
              </w:rPr>
              <w:t>具有良好</w:t>
            </w:r>
            <w:r>
              <w:rPr>
                <w:rFonts w:hint="eastAsia" w:asciiTheme="minorEastAsia" w:hAnsiTheme="minorEastAsia" w:eastAsiaTheme="minorEastAsia" w:cstheme="minorBidi"/>
                <w:sz w:val="24"/>
              </w:rPr>
              <w:t>的</w:t>
            </w:r>
            <w:r>
              <w:rPr>
                <w:rFonts w:asciiTheme="minorEastAsia" w:hAnsiTheme="minorEastAsia" w:eastAsiaTheme="minorEastAsia" w:cstheme="minorBidi"/>
                <w:sz w:val="24"/>
              </w:rPr>
              <w:t>扩展性，</w:t>
            </w:r>
            <w:r>
              <w:rPr>
                <w:rFonts w:hint="eastAsia" w:asciiTheme="minorEastAsia" w:hAnsiTheme="minorEastAsia" w:eastAsiaTheme="minorEastAsia" w:cstheme="minorBidi"/>
                <w:sz w:val="24"/>
              </w:rPr>
              <w:t>具有</w:t>
            </w:r>
            <w:r>
              <w:rPr>
                <w:rFonts w:asciiTheme="minorEastAsia" w:hAnsiTheme="minorEastAsia" w:eastAsiaTheme="minorEastAsia" w:cstheme="minorBidi"/>
                <w:sz w:val="24"/>
              </w:rPr>
              <w:t>与院方其他系统集成能力</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包括但不限于</w:t>
            </w:r>
            <w:r>
              <w:rPr>
                <w:rFonts w:hint="eastAsia" w:asciiTheme="minorEastAsia" w:hAnsiTheme="minorEastAsia" w:eastAsiaTheme="minorEastAsia" w:cstheme="minorBidi"/>
                <w:sz w:val="24"/>
              </w:rPr>
              <w:t>采购系统、财务系统、科教管理系统进行对接。</w:t>
            </w:r>
          </w:p>
          <w:p>
            <w:pPr>
              <w:pStyle w:val="6"/>
              <w:numPr>
                <w:ilvl w:val="0"/>
                <w:numId w:val="17"/>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 WEB services、</w:t>
            </w:r>
            <w:r>
              <w:rPr>
                <w:rFonts w:asciiTheme="minorEastAsia" w:hAnsiTheme="minorEastAsia" w:eastAsiaTheme="minorEastAsia" w:cstheme="minorBidi"/>
                <w:sz w:val="24"/>
              </w:rPr>
              <w:t>DLL</w:t>
            </w:r>
            <w:r>
              <w:rPr>
                <w:rFonts w:hint="eastAsia" w:asciiTheme="minorEastAsia" w:hAnsiTheme="minorEastAsia" w:eastAsiaTheme="minorEastAsia" w:cstheme="minorBidi"/>
                <w:sz w:val="24"/>
              </w:rPr>
              <w:t>等多种集成方式。</w:t>
            </w:r>
          </w:p>
          <w:p>
            <w:pPr>
              <w:pStyle w:val="6"/>
              <w:numPr>
                <w:ilvl w:val="0"/>
                <w:numId w:val="17"/>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支持统一</w:t>
            </w:r>
            <w:r>
              <w:rPr>
                <w:rFonts w:asciiTheme="minorEastAsia" w:hAnsiTheme="minorEastAsia" w:eastAsiaTheme="minorEastAsia" w:cstheme="minorBidi"/>
                <w:sz w:val="24"/>
              </w:rPr>
              <w:t>的用户管理、认证</w:t>
            </w:r>
            <w:r>
              <w:rPr>
                <w:rFonts w:hint="eastAsia" w:asciiTheme="minorEastAsia" w:hAnsiTheme="minorEastAsia" w:eastAsiaTheme="minorEastAsia" w:cstheme="minorBidi"/>
                <w:sz w:val="24"/>
              </w:rPr>
              <w:t>，支持与本院</w:t>
            </w:r>
            <w:r>
              <w:rPr>
                <w:rFonts w:asciiTheme="minorEastAsia" w:hAnsiTheme="minorEastAsia" w:eastAsiaTheme="minorEastAsia" w:cstheme="minorBidi"/>
                <w:sz w:val="24"/>
              </w:rPr>
              <w:t>单点登录</w:t>
            </w:r>
            <w:r>
              <w:rPr>
                <w:rFonts w:hint="eastAsia" w:asciiTheme="minorEastAsia" w:hAnsiTheme="minorEastAsia" w:eastAsiaTheme="minorEastAsia" w:cstheme="minorBidi"/>
                <w:sz w:val="24"/>
              </w:rPr>
              <w:t>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备份与恢复</w:t>
            </w:r>
          </w:p>
        </w:tc>
        <w:tc>
          <w:tcPr>
            <w:tcW w:w="8050" w:type="dxa"/>
            <w:vAlign w:val="center"/>
          </w:tcPr>
          <w:p>
            <w:pPr>
              <w:pStyle w:val="6"/>
              <w:numPr>
                <w:ilvl w:val="0"/>
                <w:numId w:val="1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系统</w:t>
            </w:r>
            <w:r>
              <w:rPr>
                <w:rFonts w:asciiTheme="minorEastAsia" w:hAnsiTheme="minorEastAsia" w:eastAsiaTheme="minorEastAsia" w:cstheme="minorBidi"/>
                <w:sz w:val="24"/>
              </w:rPr>
              <w:t>需</w:t>
            </w:r>
            <w:r>
              <w:rPr>
                <w:rFonts w:hint="eastAsia" w:asciiTheme="minorEastAsia" w:hAnsiTheme="minorEastAsia" w:eastAsiaTheme="minorEastAsia" w:cstheme="minorBidi"/>
                <w:sz w:val="24"/>
              </w:rPr>
              <w:t>有</w:t>
            </w:r>
            <w:r>
              <w:rPr>
                <w:rFonts w:asciiTheme="minorEastAsia" w:hAnsiTheme="minorEastAsia" w:eastAsiaTheme="minorEastAsia" w:cstheme="minorBidi"/>
                <w:sz w:val="24"/>
              </w:rPr>
              <w:t>完备</w:t>
            </w:r>
            <w:r>
              <w:rPr>
                <w:rFonts w:hint="eastAsia" w:asciiTheme="minorEastAsia" w:hAnsiTheme="minorEastAsia" w:eastAsiaTheme="minorEastAsia" w:cstheme="minorBidi"/>
                <w:sz w:val="24"/>
              </w:rPr>
              <w:t>的</w:t>
            </w:r>
            <w:r>
              <w:rPr>
                <w:rFonts w:asciiTheme="minorEastAsia" w:hAnsiTheme="minorEastAsia" w:eastAsiaTheme="minorEastAsia" w:cstheme="minorBidi"/>
                <w:sz w:val="24"/>
              </w:rPr>
              <w:t>数据备份方案，确保在软硬件故障或其</w:t>
            </w:r>
            <w:r>
              <w:rPr>
                <w:rFonts w:hint="eastAsia" w:asciiTheme="minorEastAsia" w:hAnsiTheme="minorEastAsia" w:eastAsiaTheme="minorEastAsia" w:cstheme="minorBidi"/>
                <w:sz w:val="24"/>
              </w:rPr>
              <w:t>它</w:t>
            </w:r>
            <w:r>
              <w:rPr>
                <w:rFonts w:asciiTheme="minorEastAsia" w:hAnsiTheme="minorEastAsia" w:eastAsiaTheme="minorEastAsia" w:cstheme="minorBidi"/>
                <w:sz w:val="24"/>
              </w:rPr>
              <w:t>原因产生数据异常时，保证数据可恢复</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不丢失</w:t>
            </w:r>
            <w:r>
              <w:rPr>
                <w:rFonts w:hint="eastAsia" w:asciiTheme="minorEastAsia" w:hAnsiTheme="minorEastAsia" w:eastAsiaTheme="minorEastAsia" w:cstheme="minorBidi"/>
                <w:sz w:val="24"/>
              </w:rPr>
              <w:t>。</w:t>
            </w:r>
          </w:p>
          <w:p>
            <w:pPr>
              <w:pStyle w:val="6"/>
              <w:numPr>
                <w:ilvl w:val="0"/>
                <w:numId w:val="18"/>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系统</w:t>
            </w:r>
            <w:r>
              <w:rPr>
                <w:rFonts w:asciiTheme="minorEastAsia" w:hAnsiTheme="minorEastAsia" w:eastAsiaTheme="minorEastAsia" w:cstheme="minorBidi"/>
                <w:sz w:val="24"/>
              </w:rPr>
              <w:t>需支持性能监控</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异常监控、存储监控等功能。当</w:t>
            </w:r>
            <w:r>
              <w:rPr>
                <w:rFonts w:hint="eastAsia" w:asciiTheme="minorEastAsia" w:hAnsiTheme="minorEastAsia" w:eastAsiaTheme="minorEastAsia" w:cstheme="minorBidi"/>
                <w:sz w:val="24"/>
              </w:rPr>
              <w:t>系统</w:t>
            </w:r>
            <w:r>
              <w:rPr>
                <w:rFonts w:asciiTheme="minorEastAsia" w:hAnsiTheme="minorEastAsia" w:eastAsiaTheme="minorEastAsia" w:cstheme="minorBidi"/>
                <w:sz w:val="24"/>
              </w:rPr>
              <w:t>出现异常、存储不足</w:t>
            </w:r>
            <w:r>
              <w:rPr>
                <w:rFonts w:hint="eastAsia" w:asciiTheme="minorEastAsia" w:hAnsiTheme="minorEastAsia" w:eastAsiaTheme="minorEastAsia" w:cstheme="minorBidi"/>
                <w:sz w:val="24"/>
              </w:rPr>
              <w:t>等</w:t>
            </w:r>
            <w:r>
              <w:rPr>
                <w:rFonts w:asciiTheme="minorEastAsia" w:hAnsiTheme="minorEastAsia" w:eastAsiaTheme="minorEastAsia" w:cstheme="minorBidi"/>
                <w:sz w:val="24"/>
              </w:rPr>
              <w:t>情况时，可通过一定策略</w:t>
            </w:r>
            <w:r>
              <w:rPr>
                <w:rFonts w:hint="eastAsia" w:asciiTheme="minorEastAsia" w:hAnsiTheme="minorEastAsia" w:eastAsiaTheme="minorEastAsia" w:cstheme="minorBidi"/>
                <w:sz w:val="24"/>
              </w:rPr>
              <w:t>（邮件</w:t>
            </w:r>
            <w:r>
              <w:rPr>
                <w:rFonts w:asciiTheme="minorEastAsia" w:hAnsiTheme="minorEastAsia" w:eastAsiaTheme="minorEastAsia" w:cstheme="minorBidi"/>
                <w:sz w:val="24"/>
              </w:rPr>
              <w:t>、短信等）</w:t>
            </w:r>
            <w:r>
              <w:rPr>
                <w:rFonts w:hint="eastAsia" w:asciiTheme="minorEastAsia" w:hAnsiTheme="minorEastAsia" w:eastAsiaTheme="minorEastAsia" w:cstheme="minorBidi"/>
                <w:sz w:val="24"/>
              </w:rPr>
              <w:t>通知</w:t>
            </w:r>
            <w:r>
              <w:rPr>
                <w:rFonts w:asciiTheme="minorEastAsia" w:hAnsiTheme="minorEastAsia" w:eastAsiaTheme="minorEastAsia" w:cstheme="minorBidi"/>
                <w:sz w:val="24"/>
              </w:rPr>
              <w:t>管理员</w:t>
            </w:r>
            <w:r>
              <w:rPr>
                <w:rFonts w:hint="eastAsia" w:asciiTheme="minorEastAsia" w:hAnsiTheme="minorEastAsia" w:eastAsiaTheme="minorEastAsia" w:cstheme="minorBidi"/>
                <w:sz w:val="24"/>
              </w:rPr>
              <w:t>或</w:t>
            </w:r>
            <w:r>
              <w:rPr>
                <w:rFonts w:asciiTheme="minorEastAsia" w:hAnsiTheme="minorEastAsia" w:eastAsiaTheme="minorEastAsia" w:cstheme="minorBidi"/>
                <w:sz w:val="24"/>
              </w:rPr>
              <w:t>维护人员。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信息及网络安全管理</w:t>
            </w:r>
          </w:p>
        </w:tc>
        <w:tc>
          <w:tcPr>
            <w:tcW w:w="8050" w:type="dxa"/>
            <w:vAlign w:val="center"/>
          </w:tcPr>
          <w:p>
            <w:pPr>
              <w:pStyle w:val="6"/>
              <w:numPr>
                <w:ilvl w:val="0"/>
                <w:numId w:val="1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具备</w:t>
            </w:r>
            <w:r>
              <w:rPr>
                <w:rFonts w:asciiTheme="minorEastAsia" w:hAnsiTheme="minorEastAsia" w:eastAsiaTheme="minorEastAsia" w:cstheme="minorBidi"/>
                <w:sz w:val="24"/>
              </w:rPr>
              <w:t>完善的数据</w:t>
            </w:r>
            <w:r>
              <w:rPr>
                <w:rFonts w:hint="eastAsia" w:asciiTheme="minorEastAsia" w:hAnsiTheme="minorEastAsia" w:eastAsiaTheme="minorEastAsia" w:cstheme="minorBidi"/>
                <w:sz w:val="24"/>
              </w:rPr>
              <w:t>保密</w:t>
            </w:r>
            <w:r>
              <w:rPr>
                <w:rFonts w:asciiTheme="minorEastAsia" w:hAnsiTheme="minorEastAsia" w:eastAsiaTheme="minorEastAsia" w:cstheme="minorBidi"/>
                <w:sz w:val="24"/>
              </w:rPr>
              <w:t>机制，防止</w:t>
            </w:r>
            <w:r>
              <w:rPr>
                <w:rFonts w:hint="eastAsia" w:asciiTheme="minorEastAsia" w:hAnsiTheme="minorEastAsia" w:eastAsiaTheme="minorEastAsia" w:cstheme="minorBidi"/>
                <w:sz w:val="24"/>
              </w:rPr>
              <w:t>监护</w:t>
            </w:r>
            <w:r>
              <w:rPr>
                <w:rFonts w:asciiTheme="minorEastAsia" w:hAnsiTheme="minorEastAsia" w:eastAsiaTheme="minorEastAsia" w:cstheme="minorBidi"/>
                <w:sz w:val="24"/>
              </w:rPr>
              <w:t>数据、个人隐私</w:t>
            </w:r>
            <w:r>
              <w:rPr>
                <w:rFonts w:hint="eastAsia" w:asciiTheme="minorEastAsia" w:hAnsiTheme="minorEastAsia" w:eastAsiaTheme="minorEastAsia" w:cstheme="minorBidi"/>
                <w:sz w:val="24"/>
              </w:rPr>
              <w:t>等</w:t>
            </w:r>
            <w:r>
              <w:rPr>
                <w:rFonts w:asciiTheme="minorEastAsia" w:hAnsiTheme="minorEastAsia" w:eastAsiaTheme="minorEastAsia" w:cstheme="minorBidi"/>
                <w:sz w:val="24"/>
              </w:rPr>
              <w:t>数据的泄漏。</w:t>
            </w:r>
          </w:p>
          <w:p>
            <w:pPr>
              <w:pStyle w:val="6"/>
              <w:numPr>
                <w:ilvl w:val="0"/>
                <w:numId w:val="19"/>
              </w:numPr>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院</w:t>
            </w:r>
            <w:r>
              <w:rPr>
                <w:rFonts w:hint="eastAsia" w:asciiTheme="minorEastAsia" w:hAnsiTheme="minorEastAsia" w:eastAsiaTheme="minorEastAsia" w:cstheme="minorBidi"/>
                <w:sz w:val="24"/>
              </w:rPr>
              <w:t>内相关</w:t>
            </w:r>
            <w:r>
              <w:rPr>
                <w:rFonts w:asciiTheme="minorEastAsia" w:hAnsiTheme="minorEastAsia" w:eastAsiaTheme="minorEastAsia" w:cstheme="minorBidi"/>
                <w:sz w:val="24"/>
              </w:rPr>
              <w:t>对接的软件工程师具有</w:t>
            </w:r>
            <w:r>
              <w:rPr>
                <w:rFonts w:hint="eastAsia" w:asciiTheme="minorEastAsia" w:hAnsiTheme="minorEastAsia" w:eastAsiaTheme="minorEastAsia" w:cstheme="minorBidi"/>
                <w:sz w:val="24"/>
              </w:rPr>
              <w:t>系统数据库</w:t>
            </w:r>
            <w:r>
              <w:rPr>
                <w:rFonts w:asciiTheme="minorEastAsia" w:hAnsiTheme="minorEastAsia" w:eastAsiaTheme="minorEastAsia" w:cstheme="minorBidi"/>
                <w:sz w:val="24"/>
              </w:rPr>
              <w:t>的访问权。</w:t>
            </w:r>
          </w:p>
          <w:p>
            <w:pPr>
              <w:pStyle w:val="6"/>
              <w:numPr>
                <w:ilvl w:val="0"/>
                <w:numId w:val="1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支持系统</w:t>
            </w:r>
            <w:r>
              <w:rPr>
                <w:rFonts w:asciiTheme="minorEastAsia" w:hAnsiTheme="minorEastAsia" w:eastAsiaTheme="minorEastAsia" w:cstheme="minorBidi"/>
                <w:sz w:val="24"/>
              </w:rPr>
              <w:t>日志</w:t>
            </w:r>
            <w:r>
              <w:rPr>
                <w:rFonts w:hint="eastAsia" w:asciiTheme="minorEastAsia" w:hAnsiTheme="minorEastAsia" w:eastAsiaTheme="minorEastAsia" w:cstheme="minorBidi"/>
                <w:sz w:val="24"/>
              </w:rPr>
              <w:t>管理</w:t>
            </w:r>
            <w:r>
              <w:rPr>
                <w:rFonts w:asciiTheme="minorEastAsia" w:hAnsiTheme="minorEastAsia" w:eastAsiaTheme="minorEastAsia" w:cstheme="minorBidi"/>
                <w:sz w:val="24"/>
              </w:rPr>
              <w:t>及审计技术，</w:t>
            </w:r>
            <w:r>
              <w:rPr>
                <w:rFonts w:hint="eastAsia" w:asciiTheme="minorEastAsia" w:hAnsiTheme="minorEastAsia" w:eastAsiaTheme="minorEastAsia" w:cstheme="minorBidi"/>
                <w:sz w:val="24"/>
              </w:rPr>
              <w:t>对登陆</w:t>
            </w:r>
            <w:r>
              <w:rPr>
                <w:rFonts w:asciiTheme="minorEastAsia" w:hAnsiTheme="minorEastAsia" w:eastAsiaTheme="minorEastAsia" w:cstheme="minorBidi"/>
                <w:sz w:val="24"/>
              </w:rPr>
              <w:t>及访问明细</w:t>
            </w:r>
            <w:r>
              <w:rPr>
                <w:rFonts w:hint="eastAsia" w:asciiTheme="minorEastAsia" w:hAnsiTheme="minorEastAsia" w:eastAsiaTheme="minorEastAsia" w:cstheme="minorBidi"/>
                <w:sz w:val="24"/>
              </w:rPr>
              <w:t>需要进行</w:t>
            </w:r>
            <w:r>
              <w:rPr>
                <w:rFonts w:asciiTheme="minorEastAsia" w:hAnsiTheme="minorEastAsia" w:eastAsiaTheme="minorEastAsia" w:cstheme="minorBidi"/>
                <w:sz w:val="24"/>
              </w:rPr>
              <w:t>审计</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并定时分析</w:t>
            </w:r>
            <w:r>
              <w:rPr>
                <w:rFonts w:hint="eastAsia" w:asciiTheme="minorEastAsia" w:hAnsiTheme="minorEastAsia" w:eastAsiaTheme="minorEastAsia" w:cstheme="minorBidi"/>
                <w:sz w:val="24"/>
              </w:rPr>
              <w:t>、清除</w:t>
            </w:r>
            <w:r>
              <w:rPr>
                <w:rFonts w:asciiTheme="minorEastAsia" w:hAnsiTheme="minorEastAsia" w:eastAsiaTheme="minorEastAsia" w:cstheme="minorBidi"/>
                <w:sz w:val="24"/>
              </w:rPr>
              <w:t>。</w:t>
            </w:r>
          </w:p>
          <w:p>
            <w:pPr>
              <w:pStyle w:val="6"/>
              <w:numPr>
                <w:ilvl w:val="0"/>
                <w:numId w:val="1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具备</w:t>
            </w:r>
            <w:r>
              <w:rPr>
                <w:rFonts w:asciiTheme="minorEastAsia" w:hAnsiTheme="minorEastAsia" w:eastAsiaTheme="minorEastAsia" w:cstheme="minorBidi"/>
                <w:sz w:val="24"/>
              </w:rPr>
              <w:t>XSS攻击、SQL注入、</w:t>
            </w:r>
            <w:r>
              <w:rPr>
                <w:rFonts w:hint="eastAsia" w:asciiTheme="minorEastAsia" w:hAnsiTheme="minorEastAsia" w:eastAsiaTheme="minorEastAsia" w:cstheme="minorBidi"/>
                <w:sz w:val="24"/>
              </w:rPr>
              <w:t>CSRF</w:t>
            </w:r>
            <w:r>
              <w:rPr>
                <w:rFonts w:asciiTheme="minorEastAsia" w:hAnsiTheme="minorEastAsia" w:eastAsiaTheme="minorEastAsia" w:cstheme="minorBidi"/>
                <w:sz w:val="24"/>
              </w:rPr>
              <w:t>跨站请求伪造攻击</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编码转换等攻击的防范机制。</w:t>
            </w:r>
          </w:p>
          <w:p>
            <w:pPr>
              <w:pStyle w:val="6"/>
              <w:numPr>
                <w:ilvl w:val="0"/>
                <w:numId w:val="1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具备可靠</w:t>
            </w:r>
            <w:r>
              <w:rPr>
                <w:rFonts w:asciiTheme="minorEastAsia" w:hAnsiTheme="minorEastAsia" w:eastAsiaTheme="minorEastAsia" w:cstheme="minorBidi"/>
                <w:sz w:val="24"/>
              </w:rPr>
              <w:t>的数据加密方式、算法及其他数据安全机制，确保业务数据的</w:t>
            </w:r>
            <w:r>
              <w:rPr>
                <w:rFonts w:hint="eastAsia" w:asciiTheme="minorEastAsia" w:hAnsiTheme="minorEastAsia" w:eastAsiaTheme="minorEastAsia" w:cstheme="minorBidi"/>
                <w:sz w:val="24"/>
              </w:rPr>
              <w:t>安全</w:t>
            </w:r>
            <w:r>
              <w:rPr>
                <w:rFonts w:asciiTheme="minorEastAsia" w:hAnsiTheme="minorEastAsia" w:eastAsiaTheme="minorEastAsia" w:cstheme="minorBidi"/>
                <w:sz w:val="24"/>
              </w:rPr>
              <w:t>与稳定，</w:t>
            </w:r>
            <w:r>
              <w:rPr>
                <w:rFonts w:hint="eastAsia" w:asciiTheme="minorEastAsia" w:hAnsiTheme="minorEastAsia" w:eastAsiaTheme="minorEastAsia" w:cstheme="minorBidi"/>
                <w:sz w:val="24"/>
              </w:rPr>
              <w:t>严禁</w:t>
            </w:r>
            <w:r>
              <w:rPr>
                <w:rFonts w:asciiTheme="minorEastAsia" w:hAnsiTheme="minorEastAsia" w:eastAsiaTheme="minorEastAsia" w:cstheme="minorBidi"/>
                <w:sz w:val="24"/>
              </w:rPr>
              <w:t>明码传输。</w:t>
            </w:r>
          </w:p>
          <w:p>
            <w:pPr>
              <w:pStyle w:val="6"/>
              <w:numPr>
                <w:ilvl w:val="0"/>
                <w:numId w:val="19"/>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具备可靠</w:t>
            </w:r>
            <w:r>
              <w:rPr>
                <w:rFonts w:asciiTheme="minorEastAsia" w:hAnsiTheme="minorEastAsia" w:eastAsiaTheme="minorEastAsia" w:cstheme="minorBidi"/>
                <w:sz w:val="24"/>
              </w:rPr>
              <w:t>的</w:t>
            </w:r>
            <w:r>
              <w:rPr>
                <w:rFonts w:hint="eastAsia" w:asciiTheme="minorEastAsia" w:hAnsiTheme="minorEastAsia" w:eastAsiaTheme="minorEastAsia" w:cstheme="minorBidi"/>
                <w:sz w:val="24"/>
              </w:rPr>
              <w:t>身份</w:t>
            </w:r>
            <w:r>
              <w:rPr>
                <w:rFonts w:asciiTheme="minorEastAsia" w:hAnsiTheme="minorEastAsia" w:eastAsiaTheme="minorEastAsia" w:cstheme="minorBidi"/>
                <w:sz w:val="24"/>
              </w:rPr>
              <w:t>鉴别和访问控制机制（</w:t>
            </w:r>
            <w:r>
              <w:rPr>
                <w:rFonts w:hint="eastAsia" w:asciiTheme="minorEastAsia" w:hAnsiTheme="minorEastAsia" w:eastAsiaTheme="minorEastAsia" w:cstheme="minorBidi"/>
                <w:sz w:val="24"/>
              </w:rPr>
              <w:t>如</w:t>
            </w:r>
            <w:r>
              <w:rPr>
                <w:rFonts w:asciiTheme="minorEastAsia" w:hAnsiTheme="minorEastAsia" w:eastAsiaTheme="minorEastAsia" w:cstheme="minorBidi"/>
                <w:sz w:val="24"/>
              </w:rPr>
              <w:t>支持</w:t>
            </w:r>
            <w:r>
              <w:rPr>
                <w:rFonts w:hint="eastAsia" w:asciiTheme="minorEastAsia" w:hAnsiTheme="minorEastAsia" w:eastAsiaTheme="minorEastAsia" w:cstheme="minorBidi"/>
                <w:sz w:val="24"/>
              </w:rPr>
              <w:t>强密码策略，</w:t>
            </w:r>
            <w:r>
              <w:rPr>
                <w:rFonts w:asciiTheme="minorEastAsia" w:hAnsiTheme="minorEastAsia" w:eastAsiaTheme="minorEastAsia" w:cstheme="minorBidi"/>
                <w:sz w:val="24"/>
              </w:rPr>
              <w:t>防止暴力破解、强制</w:t>
            </w:r>
            <w:r>
              <w:rPr>
                <w:rFonts w:hint="eastAsia" w:asciiTheme="minorEastAsia" w:hAnsiTheme="minorEastAsia" w:eastAsiaTheme="minorEastAsia" w:cstheme="minorBidi"/>
                <w:sz w:val="24"/>
              </w:rPr>
              <w:t>修改</w:t>
            </w:r>
            <w:r>
              <w:rPr>
                <w:rFonts w:asciiTheme="minorEastAsia" w:hAnsiTheme="minorEastAsia" w:eastAsiaTheme="minorEastAsia" w:cstheme="minorBidi"/>
                <w:sz w:val="24"/>
              </w:rPr>
              <w:t>默认</w:t>
            </w:r>
            <w:r>
              <w:rPr>
                <w:rFonts w:hint="eastAsia" w:asciiTheme="minorEastAsia" w:hAnsiTheme="minorEastAsia" w:eastAsiaTheme="minorEastAsia" w:cstheme="minorBidi"/>
                <w:sz w:val="24"/>
              </w:rPr>
              <w:t>密码</w:t>
            </w:r>
            <w:r>
              <w:rPr>
                <w:rFonts w:asciiTheme="minorEastAsia" w:hAnsiTheme="minorEastAsia" w:eastAsiaTheme="minorEastAsia" w:cstheme="minorBidi"/>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交付要求</w:t>
            </w:r>
          </w:p>
        </w:tc>
        <w:tc>
          <w:tcPr>
            <w:tcW w:w="8050" w:type="dxa"/>
            <w:vAlign w:val="center"/>
          </w:tcPr>
          <w:p>
            <w:pPr>
              <w:pStyle w:val="6"/>
              <w:numPr>
                <w:ilvl w:val="0"/>
                <w:numId w:val="20"/>
              </w:numPr>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提供项目建设方案，包含系统部署的架构图、拓扑图、硬件配置清单（包含但不限于服务器数量、操作系统、CPU、内存、存储容量、数据库版本）等</w:t>
            </w:r>
            <w:r>
              <w:rPr>
                <w:rFonts w:hint="eastAsia" w:asciiTheme="minorEastAsia" w:hAnsiTheme="minorEastAsia" w:eastAsiaTheme="minorEastAsia" w:cstheme="minorBidi"/>
                <w:sz w:val="24"/>
              </w:rPr>
              <w:t>。</w:t>
            </w:r>
          </w:p>
          <w:p>
            <w:pPr>
              <w:pStyle w:val="6"/>
              <w:numPr>
                <w:ilvl w:val="0"/>
                <w:numId w:val="20"/>
              </w:numPr>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提供</w:t>
            </w:r>
            <w:r>
              <w:rPr>
                <w:rFonts w:hint="eastAsia" w:asciiTheme="minorEastAsia" w:hAnsiTheme="minorEastAsia" w:eastAsiaTheme="minorEastAsia" w:cstheme="minorBidi"/>
                <w:sz w:val="24"/>
              </w:rPr>
              <w:t>详细的</w:t>
            </w:r>
            <w:r>
              <w:rPr>
                <w:rFonts w:asciiTheme="minorEastAsia" w:hAnsiTheme="minorEastAsia" w:eastAsiaTheme="minorEastAsia" w:cstheme="minorBidi"/>
                <w:sz w:val="24"/>
              </w:rPr>
              <w:t>项目工作说明书（SOW）、需求规格说明书、涉及二次开发的接口说明书、项目主体计划、开发明细计划、需交付的代码QC报告、项目验收报告等</w:t>
            </w:r>
            <w:r>
              <w:rPr>
                <w:rFonts w:hint="eastAsia" w:asciiTheme="minorEastAsia" w:hAnsiTheme="minorEastAsia" w:eastAsiaTheme="minorEastAsia" w:cstheme="minorBidi"/>
                <w:sz w:val="24"/>
              </w:rPr>
              <w:t>。</w:t>
            </w:r>
          </w:p>
          <w:p>
            <w:pPr>
              <w:pStyle w:val="6"/>
              <w:numPr>
                <w:ilvl w:val="0"/>
                <w:numId w:val="20"/>
              </w:numPr>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提供项目管理文档、培训文档，包含但不限于项目计划、周报、培训方案、培训演示文稿、系统操作手册、系统配置手册、系统部署手册</w:t>
            </w:r>
            <w:r>
              <w:rPr>
                <w:rFonts w:hint="eastAsia" w:asciiTheme="minorEastAsia" w:hAnsiTheme="minorEastAsia" w:eastAsiaTheme="minorEastAsia" w:cstheme="minorBidi"/>
                <w:sz w:val="24"/>
              </w:rPr>
              <w:t>。</w:t>
            </w:r>
          </w:p>
          <w:p>
            <w:pPr>
              <w:pStyle w:val="6"/>
              <w:numPr>
                <w:ilvl w:val="0"/>
                <w:numId w:val="20"/>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提供软件系统概要设计、表结构说明、数据库用户及密码。</w:t>
            </w:r>
          </w:p>
          <w:p>
            <w:pPr>
              <w:pStyle w:val="6"/>
              <w:numPr>
                <w:ilvl w:val="0"/>
                <w:numId w:val="20"/>
              </w:numPr>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提供测试用例、测试计划，在招标人标准测试环境进行集成测试、功能测试、性能测试、安全测试，并出具相应的测试报告</w:t>
            </w:r>
            <w:r>
              <w:rPr>
                <w:rFonts w:hint="eastAsia" w:asciiTheme="minorEastAsia" w:hAnsiTheme="minorEastAsia" w:eastAsiaTheme="minorEastAsia" w:cstheme="minorBidi"/>
                <w:sz w:val="24"/>
              </w:rPr>
              <w:t>。</w:t>
            </w:r>
          </w:p>
          <w:p>
            <w:pPr>
              <w:pStyle w:val="6"/>
              <w:numPr>
                <w:ilvl w:val="0"/>
                <w:numId w:val="20"/>
              </w:numPr>
              <w:ind w:firstLineChars="0"/>
              <w:rPr>
                <w:rFonts w:asciiTheme="minorEastAsia" w:hAnsiTheme="minorEastAsia" w:eastAsiaTheme="minorEastAsia" w:cstheme="minorBidi"/>
                <w:color w:val="0070C0"/>
                <w:sz w:val="24"/>
              </w:rPr>
            </w:pPr>
            <w:r>
              <w:rPr>
                <w:rFonts w:asciiTheme="minorEastAsia" w:hAnsiTheme="minorEastAsia" w:eastAsiaTheme="minorEastAsia" w:cstheme="minorBidi"/>
                <w:sz w:val="24"/>
              </w:rPr>
              <w:t>提供中标人项目组成员明细表及上线部署正式告知邮件（说明部署内容、部署时间、注意事项等）</w:t>
            </w:r>
            <w:r>
              <w:rPr>
                <w:rFonts w:hint="eastAsia" w:asciiTheme="minorEastAsia" w:hAnsiTheme="minorEastAsia" w:eastAsiaTheme="minorEastAsia" w:cstheme="minorBidi"/>
                <w:sz w:val="24"/>
              </w:rPr>
              <w:t>。</w:t>
            </w:r>
          </w:p>
          <w:p>
            <w:pPr>
              <w:pStyle w:val="6"/>
              <w:numPr>
                <w:ilvl w:val="0"/>
                <w:numId w:val="20"/>
              </w:numPr>
              <w:ind w:firstLineChars="0"/>
              <w:rPr>
                <w:rFonts w:asciiTheme="minorEastAsia" w:hAnsiTheme="minorEastAsia" w:eastAsiaTheme="minorEastAsia" w:cstheme="minorBidi"/>
                <w:color w:val="0070C0"/>
                <w:sz w:val="24"/>
              </w:rPr>
            </w:pPr>
            <w:r>
              <w:rPr>
                <w:rFonts w:asciiTheme="minorEastAsia" w:hAnsiTheme="minorEastAsia" w:eastAsiaTheme="minorEastAsia" w:cstheme="minorBidi"/>
                <w:sz w:val="24"/>
              </w:rPr>
              <w:t>提供历史数据迁移及查询方案</w:t>
            </w:r>
            <w:r>
              <w:rPr>
                <w:rFonts w:hint="eastAsia" w:asciiTheme="minorEastAsia" w:hAnsiTheme="minorEastAsia" w:eastAsiaTheme="minorEastAsia" w:cstheme="minorBidi"/>
                <w:sz w:val="24"/>
              </w:rPr>
              <w:t>。</w:t>
            </w:r>
          </w:p>
          <w:p>
            <w:pPr>
              <w:pStyle w:val="6"/>
              <w:numPr>
                <w:ilvl w:val="0"/>
                <w:numId w:val="20"/>
              </w:numPr>
              <w:ind w:firstLineChars="0"/>
              <w:rPr>
                <w:rFonts w:asciiTheme="minorEastAsia" w:hAnsiTheme="minorEastAsia" w:eastAsiaTheme="minorEastAsia" w:cstheme="minorBidi"/>
                <w:color w:val="0070C0"/>
                <w:sz w:val="24"/>
              </w:rPr>
            </w:pPr>
            <w:r>
              <w:rPr>
                <w:rFonts w:hint="eastAsia" w:asciiTheme="minorEastAsia" w:hAnsiTheme="minorEastAsia" w:eastAsiaTheme="minorEastAsia" w:cstheme="minorBidi"/>
                <w:sz w:val="24"/>
              </w:rPr>
              <w:t>合同签订后，在30个工作日内完成系统安装、部署、培训、试运行</w:t>
            </w:r>
            <w:r>
              <w:rPr>
                <w:rFonts w:hint="eastAsia" w:asciiTheme="minorEastAsia" w:hAnsiTheme="minorEastAsia" w:eastAsiaTheme="minorEastAsia" w:cstheme="minorBidi"/>
                <w:sz w:val="24"/>
                <w:lang w:eastAsia="zh-CN"/>
              </w:rPr>
              <w:t>，</w:t>
            </w:r>
            <w:r>
              <w:rPr>
                <w:rFonts w:hint="eastAsia" w:asciiTheme="minorEastAsia" w:hAnsiTheme="minorEastAsia" w:eastAsiaTheme="minorEastAsia" w:cstheme="minorBidi"/>
                <w:sz w:val="24"/>
                <w:highlight w:val="none"/>
                <w:lang w:val="en-US" w:eastAsia="zh-CN"/>
              </w:rPr>
              <w:t>需提供虚拟数据完成上述需求的全流程测试，</w:t>
            </w:r>
            <w:r>
              <w:rPr>
                <w:rFonts w:hint="eastAsia" w:asciiTheme="minorEastAsia" w:hAnsiTheme="minorEastAsia" w:eastAsiaTheme="minorEastAsia" w:cstheme="minorBidi"/>
                <w:sz w:val="24"/>
                <w:highlight w:val="none"/>
              </w:rPr>
              <w:t>9</w:t>
            </w:r>
            <w:r>
              <w:rPr>
                <w:rFonts w:hint="eastAsia" w:asciiTheme="minorEastAsia" w:hAnsiTheme="minorEastAsia" w:eastAsiaTheme="minorEastAsia" w:cstheme="minorBidi"/>
                <w:sz w:val="24"/>
              </w:rPr>
              <w:t>0个工作日内完成系统功能验收并测试合格。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软件升级</w:t>
            </w:r>
          </w:p>
        </w:tc>
        <w:tc>
          <w:tcPr>
            <w:tcW w:w="8050" w:type="dxa"/>
            <w:vAlign w:val="center"/>
          </w:tcPr>
          <w:p>
            <w:pPr>
              <w:pStyle w:val="6"/>
              <w:numPr>
                <w:ilvl w:val="0"/>
                <w:numId w:val="21"/>
              </w:numPr>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厂商安装在服务器</w:t>
            </w:r>
            <w:r>
              <w:rPr>
                <w:rFonts w:hint="eastAsia" w:asciiTheme="minorEastAsia" w:hAnsiTheme="minorEastAsia" w:eastAsiaTheme="minorEastAsia" w:cstheme="minorBidi"/>
                <w:sz w:val="24"/>
              </w:rPr>
              <w:t>上的信息系统</w:t>
            </w:r>
            <w:r>
              <w:rPr>
                <w:rFonts w:asciiTheme="minorEastAsia" w:hAnsiTheme="minorEastAsia" w:eastAsiaTheme="minorEastAsia" w:cstheme="minorBidi"/>
                <w:sz w:val="24"/>
              </w:rPr>
              <w:t>软件、数据库</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操作系统等</w:t>
            </w:r>
            <w:r>
              <w:rPr>
                <w:rFonts w:hint="eastAsia" w:asciiTheme="minorEastAsia" w:hAnsiTheme="minorEastAsia" w:eastAsiaTheme="minorEastAsia" w:cstheme="minorBidi"/>
                <w:sz w:val="24"/>
              </w:rPr>
              <w:t>需</w:t>
            </w:r>
            <w:r>
              <w:rPr>
                <w:rFonts w:asciiTheme="minorEastAsia" w:hAnsiTheme="minorEastAsia" w:eastAsiaTheme="minorEastAsia" w:cstheme="minorBidi"/>
                <w:sz w:val="24"/>
              </w:rPr>
              <w:t>提供正版授权</w:t>
            </w:r>
            <w:r>
              <w:rPr>
                <w:rFonts w:hint="eastAsia" w:asciiTheme="minorEastAsia" w:hAnsiTheme="minorEastAsia" w:eastAsiaTheme="minorEastAsia" w:cstheme="minorBidi"/>
                <w:sz w:val="24"/>
              </w:rPr>
              <w:t>。</w:t>
            </w:r>
          </w:p>
          <w:p>
            <w:pPr>
              <w:pStyle w:val="6"/>
              <w:numPr>
                <w:ilvl w:val="0"/>
                <w:numId w:val="21"/>
              </w:numPr>
              <w:ind w:firstLineChars="0"/>
              <w:rPr>
                <w:rFonts w:asciiTheme="minorEastAsia" w:hAnsiTheme="minorEastAsia" w:eastAsiaTheme="minorEastAsia" w:cstheme="minorBidi"/>
                <w:sz w:val="24"/>
              </w:rPr>
            </w:pPr>
            <w:r>
              <w:rPr>
                <w:rFonts w:asciiTheme="minorEastAsia" w:hAnsiTheme="minorEastAsia" w:eastAsiaTheme="minorEastAsia" w:cstheme="minorBidi"/>
                <w:sz w:val="24"/>
              </w:rPr>
              <w:t>可根据</w:t>
            </w:r>
            <w:r>
              <w:rPr>
                <w:rFonts w:hint="eastAsia" w:asciiTheme="minorEastAsia" w:hAnsiTheme="minorEastAsia" w:eastAsiaTheme="minorEastAsia" w:cstheme="minorBidi"/>
                <w:sz w:val="24"/>
              </w:rPr>
              <w:t>业务</w:t>
            </w:r>
            <w:r>
              <w:rPr>
                <w:rFonts w:asciiTheme="minorEastAsia" w:hAnsiTheme="minorEastAsia" w:eastAsiaTheme="minorEastAsia" w:cstheme="minorBidi"/>
                <w:sz w:val="24"/>
              </w:rPr>
              <w:t>人员需求</w:t>
            </w:r>
            <w:r>
              <w:rPr>
                <w:rFonts w:hint="eastAsia" w:asciiTheme="minorEastAsia" w:hAnsiTheme="minorEastAsia" w:eastAsiaTheme="minorEastAsia" w:cstheme="minorBidi"/>
                <w:sz w:val="24"/>
              </w:rPr>
              <w:t>，</w:t>
            </w:r>
            <w:r>
              <w:rPr>
                <w:rFonts w:asciiTheme="minorEastAsia" w:hAnsiTheme="minorEastAsia" w:eastAsiaTheme="minorEastAsia" w:cstheme="minorBidi"/>
                <w:sz w:val="24"/>
              </w:rPr>
              <w:t>定制化修改或开发相关功能</w:t>
            </w:r>
            <w:r>
              <w:rPr>
                <w:rFonts w:hint="eastAsia" w:asciiTheme="minorEastAsia" w:hAnsiTheme="minorEastAsia" w:eastAsiaTheme="minorEastAsia" w:cstheme="minorBidi"/>
                <w:sz w:val="24"/>
              </w:rPr>
              <w:t>。</w:t>
            </w:r>
          </w:p>
          <w:p>
            <w:pPr>
              <w:pStyle w:val="6"/>
              <w:numPr>
                <w:ilvl w:val="0"/>
                <w:numId w:val="21"/>
              </w:numPr>
              <w:ind w:firstLineChars="0"/>
              <w:rPr>
                <w:rFonts w:asciiTheme="minorEastAsia" w:hAnsiTheme="minorEastAsia" w:eastAsiaTheme="minorEastAsia" w:cstheme="minorBidi"/>
                <w:sz w:val="24"/>
              </w:rPr>
            </w:pPr>
            <w:r>
              <w:rPr>
                <w:rFonts w:hint="eastAsia" w:asciiTheme="minorEastAsia" w:hAnsiTheme="minorEastAsia" w:eastAsiaTheme="minorEastAsia" w:cstheme="minorBidi"/>
                <w:sz w:val="24"/>
              </w:rPr>
              <w:t>在合同期和维保</w:t>
            </w:r>
            <w:r>
              <w:rPr>
                <w:rFonts w:asciiTheme="minorEastAsia" w:hAnsiTheme="minorEastAsia" w:eastAsiaTheme="minorEastAsia" w:cstheme="minorBidi"/>
                <w:sz w:val="24"/>
              </w:rPr>
              <w:t>期内</w:t>
            </w:r>
            <w:r>
              <w:rPr>
                <w:rFonts w:hint="eastAsia" w:asciiTheme="minorEastAsia" w:hAnsiTheme="minorEastAsia" w:eastAsiaTheme="minorEastAsia" w:cstheme="minorBidi"/>
                <w:sz w:val="24"/>
              </w:rPr>
              <w:t>，产品</w:t>
            </w:r>
            <w:r>
              <w:rPr>
                <w:rFonts w:asciiTheme="minorEastAsia" w:hAnsiTheme="minorEastAsia" w:eastAsiaTheme="minorEastAsia" w:cstheme="minorBidi"/>
                <w:sz w:val="24"/>
              </w:rPr>
              <w:t>可</w:t>
            </w:r>
            <w:r>
              <w:rPr>
                <w:rFonts w:hint="eastAsia" w:asciiTheme="minorEastAsia" w:hAnsiTheme="minorEastAsia" w:eastAsiaTheme="minorEastAsia" w:cstheme="minorBidi"/>
                <w:sz w:val="24"/>
              </w:rPr>
              <w:t>免费</w:t>
            </w:r>
            <w:r>
              <w:rPr>
                <w:rFonts w:asciiTheme="minorEastAsia" w:hAnsiTheme="minorEastAsia" w:eastAsiaTheme="minorEastAsia" w:cstheme="minorBidi"/>
                <w:sz w:val="24"/>
              </w:rPr>
              <w:t>升级功能版本</w:t>
            </w:r>
            <w:r>
              <w:rPr>
                <w:rFonts w:hint="eastAsia" w:asciiTheme="minorEastAsia" w:hAnsiTheme="minorEastAsia" w:eastAsiaTheme="minorEastAsia" w:cstheme="minorBid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asciiTheme="minorEastAsia" w:hAnsiTheme="minorEastAsia" w:eastAsiaTheme="minorEastAsia" w:cstheme="minorBidi"/>
                <w:color w:val="000000" w:themeColor="text1"/>
                <w:sz w:val="24"/>
                <w14:textFill>
                  <w14:solidFill>
                    <w14:schemeClr w14:val="tx1"/>
                  </w14:solidFill>
                </w14:textFill>
              </w:rPr>
            </w:pPr>
            <w:r>
              <w:rPr>
                <w:rFonts w:hint="eastAsia" w:asciiTheme="minorEastAsia" w:hAnsiTheme="minorEastAsia" w:eastAsiaTheme="minorEastAsia" w:cstheme="minorBidi"/>
                <w:color w:val="000000" w:themeColor="text1"/>
                <w:sz w:val="24"/>
                <w14:textFill>
                  <w14:solidFill>
                    <w14:schemeClr w14:val="tx1"/>
                  </w14:solidFill>
                </w14:textFill>
              </w:rPr>
              <w:t>运维保障</w:t>
            </w:r>
          </w:p>
        </w:tc>
        <w:tc>
          <w:tcPr>
            <w:tcW w:w="8050" w:type="dxa"/>
            <w:vAlign w:val="center"/>
          </w:tcPr>
          <w:p>
            <w:pPr>
              <w:pStyle w:val="6"/>
              <w:numPr>
                <w:ilvl w:val="0"/>
                <w:numId w:val="22"/>
              </w:numPr>
              <w:ind w:left="454" w:hanging="453" w:hangingChars="189"/>
              <w:rPr>
                <w:rFonts w:asciiTheme="minorEastAsia" w:hAnsiTheme="minorEastAsia" w:eastAsiaTheme="minorEastAsia" w:cstheme="minorBidi"/>
                <w:sz w:val="24"/>
              </w:rPr>
            </w:pPr>
            <w:r>
              <w:rPr>
                <w:rFonts w:hint="eastAsia" w:asciiTheme="minorEastAsia" w:hAnsiTheme="minorEastAsia" w:eastAsiaTheme="minorEastAsia" w:cstheme="minorBidi"/>
                <w:sz w:val="24"/>
              </w:rPr>
              <w:t>若系统</w:t>
            </w:r>
            <w:r>
              <w:rPr>
                <w:rFonts w:asciiTheme="minorEastAsia" w:hAnsiTheme="minorEastAsia" w:eastAsiaTheme="minorEastAsia" w:cstheme="minorBidi"/>
                <w:sz w:val="24"/>
              </w:rPr>
              <w:t>出现异常，则需</w:t>
            </w:r>
            <w:r>
              <w:rPr>
                <w:rFonts w:hint="eastAsia" w:asciiTheme="minorEastAsia" w:hAnsiTheme="minorEastAsia" w:eastAsiaTheme="minorEastAsia" w:cstheme="minorBidi"/>
                <w:sz w:val="24"/>
              </w:rPr>
              <w:t>按</w:t>
            </w:r>
            <w:r>
              <w:rPr>
                <w:rFonts w:asciiTheme="minorEastAsia" w:hAnsiTheme="minorEastAsia" w:eastAsiaTheme="minorEastAsia" w:cstheme="minorBidi"/>
                <w:sz w:val="24"/>
              </w:rPr>
              <w:t>院方</w:t>
            </w:r>
            <w:r>
              <w:rPr>
                <w:rFonts w:hint="eastAsia" w:asciiTheme="minorEastAsia" w:hAnsiTheme="minorEastAsia" w:eastAsiaTheme="minorEastAsia" w:cstheme="minorBidi"/>
                <w:sz w:val="24"/>
              </w:rPr>
              <w:t>时效</w:t>
            </w:r>
            <w:r>
              <w:rPr>
                <w:rFonts w:asciiTheme="minorEastAsia" w:hAnsiTheme="minorEastAsia" w:eastAsiaTheme="minorEastAsia" w:cstheme="minorBidi"/>
                <w:sz w:val="24"/>
              </w:rPr>
              <w:t>解决问题</w:t>
            </w:r>
            <w:r>
              <w:rPr>
                <w:rFonts w:hint="eastAsia" w:asciiTheme="minorEastAsia" w:hAnsiTheme="minorEastAsia" w:eastAsiaTheme="minorEastAsia" w:cstheme="minorBidi"/>
                <w:sz w:val="24"/>
              </w:rPr>
              <w:t>：</w:t>
            </w:r>
          </w:p>
          <w:p>
            <w:pPr>
              <w:pStyle w:val="6"/>
              <w:numPr>
                <w:ilvl w:val="0"/>
                <w:numId w:val="23"/>
              </w:numPr>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紧急事件半小时内处理。</w:t>
            </w:r>
          </w:p>
          <w:p>
            <w:pPr>
              <w:pStyle w:val="6"/>
              <w:numPr>
                <w:ilvl w:val="0"/>
                <w:numId w:val="23"/>
              </w:numPr>
              <w:ind w:firstLine="480"/>
              <w:rPr>
                <w:rFonts w:asciiTheme="minorEastAsia" w:hAnsiTheme="minorEastAsia" w:eastAsiaTheme="minorEastAsia" w:cstheme="minorBidi"/>
                <w:sz w:val="24"/>
              </w:rPr>
            </w:pPr>
            <w:r>
              <w:rPr>
                <w:rFonts w:hint="eastAsia" w:asciiTheme="minorEastAsia" w:hAnsiTheme="minorEastAsia" w:eastAsiaTheme="minorEastAsia" w:cstheme="minorBidi"/>
                <w:sz w:val="24"/>
              </w:rPr>
              <w:t>非紧急事件24小时内处理。</w:t>
            </w:r>
          </w:p>
          <w:p>
            <w:pPr>
              <w:pStyle w:val="6"/>
              <w:numPr>
                <w:ilvl w:val="0"/>
                <w:numId w:val="22"/>
              </w:numPr>
              <w:ind w:left="454" w:hanging="453" w:hangingChars="189"/>
              <w:rPr>
                <w:rFonts w:asciiTheme="minorEastAsia" w:hAnsiTheme="minorEastAsia" w:eastAsiaTheme="minorEastAsia" w:cstheme="minorBidi"/>
                <w:sz w:val="24"/>
              </w:rPr>
            </w:pPr>
            <w:r>
              <w:rPr>
                <w:rFonts w:hint="eastAsia" w:asciiTheme="minorEastAsia" w:hAnsiTheme="minorEastAsia" w:eastAsiaTheme="minorEastAsia" w:cstheme="minorBidi"/>
                <w:sz w:val="24"/>
              </w:rPr>
              <w:t>提供</w:t>
            </w:r>
            <w:r>
              <w:rPr>
                <w:rFonts w:asciiTheme="minorEastAsia" w:hAnsiTheme="minorEastAsia" w:eastAsiaTheme="minorEastAsia" w:cstheme="minorBidi"/>
                <w:sz w:val="24"/>
              </w:rPr>
              <w:t>软件</w:t>
            </w:r>
            <w:r>
              <w:rPr>
                <w:rFonts w:hint="eastAsia" w:asciiTheme="minorEastAsia" w:hAnsiTheme="minorEastAsia" w:eastAsiaTheme="minorEastAsia" w:cstheme="minorBidi"/>
                <w:sz w:val="24"/>
              </w:rPr>
              <w:t>、硬件</w:t>
            </w:r>
            <w:r>
              <w:rPr>
                <w:rFonts w:asciiTheme="minorEastAsia" w:hAnsiTheme="minorEastAsia" w:eastAsiaTheme="minorEastAsia" w:cstheme="minorBidi"/>
                <w:sz w:val="24"/>
              </w:rPr>
              <w:t>三年内的免费维护。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19" w:type="dxa"/>
          </w:tcPr>
          <w:p>
            <w:pPr>
              <w:numPr>
                <w:ilvl w:val="0"/>
                <w:numId w:val="2"/>
              </w:numPr>
              <w:spacing w:line="360" w:lineRule="auto"/>
              <w:rPr>
                <w:rFonts w:hint="eastAsia" w:asciiTheme="minorEastAsia" w:hAnsiTheme="minorEastAsia" w:eastAsiaTheme="minorEastAsia" w:cstheme="minorBidi"/>
                <w:color w:val="000000" w:themeColor="text1"/>
                <w:sz w:val="24"/>
                <w:highlight w:val="none"/>
                <w14:textFill>
                  <w14:solidFill>
                    <w14:schemeClr w14:val="tx1"/>
                  </w14:solidFill>
                </w14:textFill>
              </w:rPr>
            </w:pPr>
            <w:r>
              <w:rPr>
                <w:rFonts w:hint="eastAsia" w:asciiTheme="minorEastAsia" w:hAnsiTheme="minorEastAsia" w:eastAsiaTheme="minorEastAsia" w:cstheme="minorBidi"/>
                <w:color w:val="000000" w:themeColor="text1"/>
                <w:sz w:val="24"/>
                <w:highlight w:val="none"/>
                <w:lang w:val="en-US" w:eastAsia="zh-CN"/>
                <w14:textFill>
                  <w14:solidFill>
                    <w14:schemeClr w14:val="tx1"/>
                  </w14:solidFill>
                </w14:textFill>
              </w:rPr>
              <w:t>团队资质</w:t>
            </w:r>
          </w:p>
        </w:tc>
        <w:tc>
          <w:tcPr>
            <w:tcW w:w="8050" w:type="dxa"/>
            <w:vAlign w:val="center"/>
          </w:tcPr>
          <w:p>
            <w:pPr>
              <w:pStyle w:val="6"/>
              <w:keepNext w:val="0"/>
              <w:keepLines w:val="0"/>
              <w:numPr>
                <w:ilvl w:val="0"/>
                <w:numId w:val="24"/>
              </w:numPr>
              <w:suppressLineNumbers w:val="0"/>
              <w:spacing w:before="0" w:beforeAutospacing="0" w:after="0" w:afterAutospacing="0"/>
              <w:ind w:left="480" w:right="0" w:hanging="480" w:hangingChars="200"/>
              <w:rPr>
                <w:rFonts w:hint="eastAsia"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lang w:val="en-US" w:eastAsia="zh-CN"/>
              </w:rPr>
              <w:t>各投标人需提供投标产品相关的计算机软件著作权证、投标产品制造商的软件企业证书。</w:t>
            </w:r>
          </w:p>
          <w:p>
            <w:pPr>
              <w:pStyle w:val="6"/>
              <w:keepNext w:val="0"/>
              <w:keepLines w:val="0"/>
              <w:numPr>
                <w:ilvl w:val="0"/>
                <w:numId w:val="24"/>
              </w:numPr>
              <w:suppressLineNumbers w:val="0"/>
              <w:spacing w:before="0" w:beforeAutospacing="0" w:after="0" w:afterAutospacing="0"/>
              <w:ind w:left="480" w:right="0" w:hanging="480" w:hangingChars="200"/>
              <w:rPr>
                <w:rFonts w:hint="eastAsia"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lang w:val="en-US" w:eastAsia="zh-CN"/>
              </w:rPr>
              <w:t>项目经理具备实验室智能管理项目实施经验，需提供项目验收单相关证明等材料。</w:t>
            </w:r>
          </w:p>
          <w:p>
            <w:pPr>
              <w:pStyle w:val="6"/>
              <w:keepNext w:val="0"/>
              <w:keepLines w:val="0"/>
              <w:numPr>
                <w:ilvl w:val="0"/>
                <w:numId w:val="24"/>
              </w:numPr>
              <w:suppressLineNumbers w:val="0"/>
              <w:spacing w:before="0" w:beforeAutospacing="0" w:after="0" w:afterAutospacing="0"/>
              <w:ind w:left="480" w:right="0" w:hanging="480" w:hangingChars="200"/>
              <w:rPr>
                <w:rFonts w:hint="eastAsia"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lang w:val="en-US" w:eastAsia="zh-CN"/>
              </w:rPr>
              <w:t>开发人员具有高级工程师证书，具有实验室智能管理项目开发经验。</w:t>
            </w:r>
          </w:p>
          <w:p>
            <w:pPr>
              <w:pStyle w:val="6"/>
              <w:keepNext w:val="0"/>
              <w:keepLines w:val="0"/>
              <w:numPr>
                <w:ilvl w:val="0"/>
                <w:numId w:val="24"/>
              </w:numPr>
              <w:suppressLineNumbers w:val="0"/>
              <w:spacing w:before="0" w:beforeAutospacing="0" w:after="0" w:afterAutospacing="0"/>
              <w:ind w:left="480" w:right="0" w:hanging="480" w:hangingChars="200"/>
              <w:rPr>
                <w:rFonts w:hint="eastAsia" w:asciiTheme="minorEastAsia" w:hAnsiTheme="minorEastAsia" w:eastAsiaTheme="minorEastAsia" w:cstheme="minorBidi"/>
                <w:sz w:val="24"/>
                <w:highlight w:val="none"/>
              </w:rPr>
            </w:pPr>
            <w:r>
              <w:rPr>
                <w:rFonts w:hint="eastAsia" w:asciiTheme="minorEastAsia" w:hAnsiTheme="minorEastAsia" w:eastAsiaTheme="minorEastAsia" w:cstheme="minorBidi"/>
                <w:sz w:val="24"/>
                <w:highlight w:val="none"/>
                <w:lang w:val="en-US" w:eastAsia="zh-CN"/>
              </w:rPr>
              <w:t>实施人员具备实验室智能管理项目实施经验，需提供项目验收单相关证明等材料。</w:t>
            </w:r>
          </w:p>
        </w:tc>
      </w:tr>
    </w:tbl>
    <w:p/>
    <w:p>
      <w:pPr>
        <w:pStyle w:val="2"/>
        <w:numPr>
          <w:ilvl w:val="0"/>
          <w:numId w:val="1"/>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其他要求</w:t>
      </w:r>
    </w:p>
    <w:p>
      <w:pPr>
        <w:tabs>
          <w:tab w:val="left" w:pos="870"/>
        </w:tabs>
        <w:spacing w:line="360" w:lineRule="auto"/>
        <w:rPr>
          <w:rFonts w:ascii="仿宋" w:hAnsi="仿宋" w:eastAsia="仿宋"/>
          <w:bCs/>
          <w:color w:val="000000"/>
          <w:sz w:val="24"/>
          <w:szCs w:val="24"/>
        </w:rPr>
      </w:pPr>
      <w:r>
        <w:rPr>
          <w:rFonts w:hint="eastAsia" w:ascii="仿宋" w:hAnsi="仿宋" w:eastAsia="仿宋"/>
          <w:bCs/>
          <w:color w:val="000000"/>
          <w:sz w:val="24"/>
          <w:szCs w:val="24"/>
        </w:rPr>
        <w:t>1.中标人发运货物时，要提供一整套中文的技术资料，包括安装手册、操作手册、系统管理员手册、用户手册、使用说明、维修保养手册、零配件清单等，这些资料费应包括在报价内。</w:t>
      </w:r>
    </w:p>
    <w:p>
      <w:pPr>
        <w:tabs>
          <w:tab w:val="left" w:pos="870"/>
        </w:tabs>
        <w:spacing w:line="360" w:lineRule="auto"/>
        <w:rPr>
          <w:rFonts w:ascii="仿宋" w:hAnsi="仿宋" w:eastAsia="仿宋"/>
          <w:bCs/>
          <w:color w:val="000000"/>
          <w:sz w:val="24"/>
          <w:szCs w:val="24"/>
        </w:rPr>
      </w:pPr>
      <w:r>
        <w:rPr>
          <w:rFonts w:hint="eastAsia" w:ascii="仿宋" w:hAnsi="仿宋" w:eastAsia="仿宋"/>
          <w:bCs/>
          <w:color w:val="000000"/>
          <w:sz w:val="24"/>
          <w:szCs w:val="24"/>
        </w:rPr>
        <w:t>2.中标人提供的产品在验收合格后，需保证软件部分三年的免费维护和免费升级。硬件部分三年的产品免费上门维修服务。保修期自买卖双方代表在设备验收单上签字之日起计算。</w:t>
      </w:r>
    </w:p>
    <w:p>
      <w:pPr>
        <w:tabs>
          <w:tab w:val="left" w:pos="870"/>
        </w:tabs>
        <w:spacing w:line="360" w:lineRule="auto"/>
        <w:rPr>
          <w:rFonts w:ascii="仿宋" w:hAnsi="仿宋" w:eastAsia="仿宋"/>
          <w:bCs/>
          <w:color w:val="000000"/>
          <w:sz w:val="24"/>
          <w:szCs w:val="24"/>
        </w:rPr>
      </w:pPr>
      <w:r>
        <w:rPr>
          <w:rFonts w:hint="eastAsia" w:ascii="仿宋" w:hAnsi="仿宋" w:eastAsia="仿宋"/>
          <w:bCs/>
          <w:color w:val="000000"/>
          <w:sz w:val="24"/>
          <w:szCs w:val="24"/>
        </w:rPr>
        <w:t>3.所有设备保修服务方式均为中标人或设备制造商上门保修，即由中标人或原制造商派员到用户设备使用现场维修。由此产生的一切费用均由中标人或原制造商承担。</w:t>
      </w:r>
    </w:p>
    <w:p>
      <w:pPr>
        <w:tabs>
          <w:tab w:val="left" w:pos="870"/>
        </w:tabs>
        <w:spacing w:line="360" w:lineRule="auto"/>
        <w:rPr>
          <w:rFonts w:ascii="仿宋" w:hAnsi="仿宋" w:eastAsia="仿宋"/>
          <w:bCs/>
          <w:color w:val="000000"/>
          <w:sz w:val="24"/>
          <w:szCs w:val="24"/>
        </w:rPr>
      </w:pPr>
      <w:r>
        <w:rPr>
          <w:rFonts w:hint="eastAsia" w:ascii="仿宋" w:hAnsi="仿宋" w:eastAsia="仿宋"/>
          <w:bCs/>
          <w:color w:val="000000"/>
          <w:sz w:val="24"/>
          <w:szCs w:val="24"/>
        </w:rPr>
        <w:t>4.中标人须提供7×24小时服务，出现系统故障须在2小时内到达现场解决问题，并在“24小时内（医院次日正常工作时间之前）”完成故障处理工作。</w:t>
      </w:r>
    </w:p>
    <w:p>
      <w:pPr>
        <w:tabs>
          <w:tab w:val="left" w:pos="870"/>
        </w:tabs>
        <w:spacing w:line="360" w:lineRule="auto"/>
        <w:rPr>
          <w:rFonts w:ascii="仿宋" w:hAnsi="仿宋" w:eastAsia="仿宋"/>
          <w:bCs/>
          <w:color w:val="000000"/>
          <w:sz w:val="24"/>
          <w:szCs w:val="24"/>
        </w:rPr>
      </w:pPr>
      <w:r>
        <w:rPr>
          <w:rFonts w:hint="eastAsia" w:ascii="仿宋" w:hAnsi="仿宋" w:eastAsia="仿宋"/>
          <w:bCs/>
          <w:color w:val="000000"/>
          <w:sz w:val="24"/>
          <w:szCs w:val="24"/>
        </w:rPr>
        <w:t>5.投标人须提出保修期后一年的收费、维修、维护内容，费用和服务方式、范围（产品、技术、模块、部件），供招标人参考，其费用不计入总价，维护费每年不超过合同总金额的10%。</w:t>
      </w:r>
    </w:p>
    <w:p>
      <w:pPr>
        <w:tabs>
          <w:tab w:val="left" w:pos="870"/>
        </w:tabs>
        <w:spacing w:line="360" w:lineRule="auto"/>
        <w:rPr>
          <w:rFonts w:ascii="仿宋" w:hAnsi="仿宋" w:eastAsia="仿宋"/>
          <w:bCs/>
          <w:color w:val="000000"/>
          <w:sz w:val="24"/>
          <w:szCs w:val="24"/>
        </w:rPr>
      </w:pPr>
      <w:r>
        <w:rPr>
          <w:rFonts w:hint="eastAsia" w:ascii="仿宋" w:hAnsi="仿宋" w:eastAsia="仿宋"/>
          <w:bCs/>
          <w:color w:val="000000"/>
          <w:sz w:val="24"/>
          <w:szCs w:val="24"/>
        </w:rPr>
        <w:t>6.中标人应在接到招标人通知的1周内，自负费用派出合格的技术人员担任教员到招标人所在地对招标人人员进行培训。培训教员的差旅费、食宿费、受训人员使用的培训教材等费用，均由中标人承担。</w:t>
      </w:r>
    </w:p>
    <w:p>
      <w:pPr>
        <w:tabs>
          <w:tab w:val="left" w:pos="870"/>
        </w:tabs>
        <w:spacing w:line="360" w:lineRule="auto"/>
        <w:rPr>
          <w:rFonts w:ascii="仿宋" w:hAnsi="仿宋" w:eastAsia="仿宋"/>
          <w:bCs/>
          <w:color w:val="000000"/>
          <w:sz w:val="24"/>
          <w:szCs w:val="24"/>
        </w:rPr>
      </w:pPr>
      <w:r>
        <w:rPr>
          <w:rFonts w:hint="eastAsia" w:ascii="仿宋" w:hAnsi="仿宋" w:eastAsia="仿宋"/>
          <w:bCs/>
          <w:color w:val="000000"/>
          <w:sz w:val="24"/>
          <w:szCs w:val="24"/>
        </w:rPr>
        <w:t>7.对用户提供现场操作使用培训，其内容涉及系统的基本原理、安装、调试、操作使用和保养维修（产品维护、故障排除、性能优化等）等，投标人须提供详细的培训方案。</w:t>
      </w:r>
    </w:p>
    <w:p>
      <w:pPr>
        <w:tabs>
          <w:tab w:val="left" w:pos="870"/>
        </w:tabs>
        <w:spacing w:line="360" w:lineRule="auto"/>
        <w:rPr>
          <w:rFonts w:hint="eastAsia" w:ascii="仿宋" w:hAnsi="仿宋" w:eastAsia="仿宋"/>
          <w:bCs/>
          <w:color w:val="000000"/>
          <w:sz w:val="24"/>
          <w:szCs w:val="24"/>
        </w:rPr>
      </w:pPr>
      <w:r>
        <w:rPr>
          <w:rFonts w:ascii="仿宋" w:hAnsi="仿宋" w:eastAsia="仿宋"/>
          <w:bCs/>
          <w:color w:val="000000"/>
          <w:sz w:val="24"/>
          <w:szCs w:val="24"/>
        </w:rPr>
        <w:t>8.</w:t>
      </w:r>
      <w:r>
        <w:rPr>
          <w:rFonts w:hint="eastAsia" w:ascii="仿宋" w:hAnsi="仿宋" w:eastAsia="仿宋"/>
          <w:bCs/>
          <w:color w:val="000000"/>
          <w:sz w:val="24"/>
          <w:szCs w:val="24"/>
        </w:rPr>
        <w:t>如果在保修期内，招标人操作人员变动，中标人应按招标人要求对新的操作人员提供免费培训。</w:t>
      </w:r>
    </w:p>
    <w:p>
      <w:pPr>
        <w:tabs>
          <w:tab w:val="left" w:pos="870"/>
        </w:tabs>
        <w:spacing w:line="360" w:lineRule="auto"/>
        <w:rPr>
          <w:rFonts w:hint="eastAsia" w:ascii="仿宋" w:hAnsi="仿宋" w:eastAsia="仿宋"/>
          <w:bCs/>
          <w:color w:val="000000"/>
          <w:sz w:val="24"/>
          <w:szCs w:val="24"/>
        </w:rPr>
      </w:pPr>
      <w:r>
        <w:rPr>
          <w:rFonts w:hint="eastAsia" w:ascii="仿宋" w:hAnsi="仿宋" w:eastAsia="仿宋"/>
          <w:bCs/>
          <w:color w:val="000000"/>
          <w:sz w:val="24"/>
          <w:szCs w:val="24"/>
        </w:rPr>
        <w:t>9.项目完成后需提供具有第三方检测机构出具的软件测评报告，包含软件的功能、可靠性、性能效率、易用性、兼容性、信息安全、用户文档等。</w:t>
      </w:r>
    </w:p>
    <w:p>
      <w:pPr>
        <w:pStyle w:val="2"/>
        <w:numPr>
          <w:ilvl w:val="0"/>
          <w:numId w:val="0"/>
        </w:numPr>
        <w:tabs>
          <w:tab w:val="left" w:pos="0"/>
        </w:tabs>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Noto Sans CJK JP Regular">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DFBiaoKaiShu-B5">
    <w:altName w:val="宋体"/>
    <w:panose1 w:val="00000000000000000000"/>
    <w:charset w:val="86"/>
    <w:family w:val="script"/>
    <w:pitch w:val="default"/>
    <w:sig w:usb0="00000000" w:usb1="00000000" w:usb2="00000037" w:usb3="00000000" w:csb0="003F00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5A287"/>
    <w:multiLevelType w:val="multilevel"/>
    <w:tmpl w:val="8025A287"/>
    <w:lvl w:ilvl="0" w:tentative="0">
      <w:start w:val="1"/>
      <w:numFmt w:val="decimal"/>
      <w:lvlText w:val="%1."/>
      <w:lvlJc w:val="left"/>
      <w:pPr>
        <w:ind w:left="360" w:hanging="360"/>
      </w:pPr>
      <w:rPr>
        <w:rFonts w:hint="default" w:ascii="Times New Roman" w:hAnsi="Times New Roman"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BBAA8C8"/>
    <w:multiLevelType w:val="multilevel"/>
    <w:tmpl w:val="9BBAA8C8"/>
    <w:lvl w:ilvl="0" w:tentative="0">
      <w:start w:val="1"/>
      <w:numFmt w:val="decimal"/>
      <w:lvlText w:val="%1."/>
      <w:lvlJc w:val="left"/>
      <w:pPr>
        <w:ind w:left="360" w:hanging="360"/>
      </w:pPr>
      <w:rPr>
        <w:rFonts w:hint="default" w:ascii="Times New Roman" w:hAnsi="Times New Roman" w:eastAsia="宋体" w:cs="Times New Roman"/>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B50A6669"/>
    <w:multiLevelType w:val="multilevel"/>
    <w:tmpl w:val="B50A6669"/>
    <w:lvl w:ilvl="0" w:tentative="0">
      <w:start w:val="1"/>
      <w:numFmt w:val="decimal"/>
      <w:lvlText w:val="%1."/>
      <w:lvlJc w:val="left"/>
      <w:pPr>
        <w:ind w:left="360" w:hanging="360"/>
      </w:pPr>
      <w:rPr>
        <w:rFonts w:hint="default" w:ascii="Times New Roman" w:hAnsi="Times New Roman" w:eastAsia="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DD65A65A"/>
    <w:multiLevelType w:val="multilevel"/>
    <w:tmpl w:val="DD65A65A"/>
    <w:lvl w:ilvl="0" w:tentative="0">
      <w:start w:val="1"/>
      <w:numFmt w:val="decimal"/>
      <w:lvlText w:val="%1."/>
      <w:lvlJc w:val="left"/>
      <w:pPr>
        <w:ind w:left="360" w:hanging="360"/>
      </w:pPr>
      <w:rPr>
        <w:rFonts w:hint="default" w:ascii="Times New Roman" w:hAnsi="Times New Roman" w:eastAsia="宋体" w:cs="Times New Roman"/>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FBC598DD"/>
    <w:multiLevelType w:val="multilevel"/>
    <w:tmpl w:val="FBC598DD"/>
    <w:lvl w:ilvl="0" w:tentative="0">
      <w:start w:val="1"/>
      <w:numFmt w:val="decimal"/>
      <w:lvlText w:val="%1."/>
      <w:lvlJc w:val="left"/>
      <w:pPr>
        <w:ind w:left="360" w:hanging="360"/>
      </w:pPr>
      <w:rPr>
        <w:rFonts w:hint="default" w:ascii="Times New Roman" w:hAnsi="Times New Roman" w:eastAsia="宋体" w:cs="Times New Roman"/>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2781D9B"/>
    <w:multiLevelType w:val="multilevel"/>
    <w:tmpl w:val="02781D9B"/>
    <w:lvl w:ilvl="0" w:tentative="0">
      <w:start w:val="1"/>
      <w:numFmt w:val="decimal"/>
      <w:lvlText w:val="%1."/>
      <w:lvlJc w:val="left"/>
      <w:pPr>
        <w:ind w:left="360" w:hanging="360"/>
      </w:pPr>
      <w:rPr>
        <w:rFonts w:hint="default" w:ascii="Times New Roman" w:hAnsi="Times New Roman"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4E231C"/>
    <w:multiLevelType w:val="singleLevel"/>
    <w:tmpl w:val="134E231C"/>
    <w:lvl w:ilvl="0" w:tentative="0">
      <w:start w:val="1"/>
      <w:numFmt w:val="chineseCounting"/>
      <w:suff w:val="nothing"/>
      <w:lvlText w:val="（%1）"/>
      <w:lvlJc w:val="left"/>
      <w:pPr>
        <w:ind w:left="0" w:firstLine="0"/>
      </w:pPr>
      <w:rPr>
        <w:rFonts w:hint="eastAsia"/>
      </w:rPr>
    </w:lvl>
  </w:abstractNum>
  <w:abstractNum w:abstractNumId="7">
    <w:nsid w:val="16795D07"/>
    <w:multiLevelType w:val="multilevel"/>
    <w:tmpl w:val="16795D07"/>
    <w:lvl w:ilvl="0" w:tentative="0">
      <w:start w:val="1"/>
      <w:numFmt w:val="decimal"/>
      <w:lvlText w:val="%1."/>
      <w:lvlJc w:val="left"/>
      <w:pPr>
        <w:ind w:left="720" w:hanging="7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10C25D"/>
    <w:multiLevelType w:val="multilevel"/>
    <w:tmpl w:val="1B10C25D"/>
    <w:lvl w:ilvl="0" w:tentative="0">
      <w:start w:val="1"/>
      <w:numFmt w:val="decimal"/>
      <w:lvlText w:val="%1."/>
      <w:lvlJc w:val="left"/>
      <w:pPr>
        <w:ind w:left="360" w:hanging="360"/>
      </w:pPr>
      <w:rPr>
        <w:rFonts w:hint="default" w:ascii="Times New Roman" w:hAnsi="Times New Roman" w:eastAsia="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CBC9683"/>
    <w:multiLevelType w:val="multilevel"/>
    <w:tmpl w:val="1CBC9683"/>
    <w:lvl w:ilvl="0" w:tentative="0">
      <w:start w:val="1"/>
      <w:numFmt w:val="decimal"/>
      <w:lvlText w:val="%1."/>
      <w:lvlJc w:val="left"/>
      <w:pPr>
        <w:ind w:left="360" w:hanging="360"/>
      </w:pPr>
      <w:rPr>
        <w:rFonts w:hint="default" w:ascii="Times New Roman" w:hAnsi="Times New Roman" w:eastAsia="宋体" w:cs="Times New Roman"/>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CE124AA"/>
    <w:multiLevelType w:val="singleLevel"/>
    <w:tmpl w:val="1CE124AA"/>
    <w:lvl w:ilvl="0" w:tentative="0">
      <w:start w:val="1"/>
      <w:numFmt w:val="decimal"/>
      <w:suff w:val="nothing"/>
      <w:lvlText w:val="%1)"/>
      <w:lvlJc w:val="left"/>
      <w:pPr>
        <w:ind w:left="454" w:hanging="171"/>
      </w:pPr>
      <w:rPr>
        <w:rFonts w:hint="default"/>
      </w:rPr>
    </w:lvl>
  </w:abstractNum>
  <w:abstractNum w:abstractNumId="11">
    <w:nsid w:val="31FD3B8E"/>
    <w:multiLevelType w:val="multilevel"/>
    <w:tmpl w:val="31FD3B8E"/>
    <w:lvl w:ilvl="0" w:tentative="0">
      <w:start w:val="1"/>
      <w:numFmt w:val="decimal"/>
      <w:lvlText w:val="%1."/>
      <w:lvlJc w:val="left"/>
      <w:pPr>
        <w:ind w:left="360" w:hanging="360"/>
      </w:pPr>
      <w:rPr>
        <w:rFonts w:hint="default" w:ascii="Times New Roman" w:hAnsi="Times New Roman" w:eastAsia="宋体" w:cs="Times New Roman"/>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2029EFE"/>
    <w:multiLevelType w:val="multilevel"/>
    <w:tmpl w:val="32029EFE"/>
    <w:lvl w:ilvl="0" w:tentative="0">
      <w:start w:val="1"/>
      <w:numFmt w:val="decimal"/>
      <w:lvlText w:val="%1."/>
      <w:lvlJc w:val="left"/>
      <w:pPr>
        <w:ind w:left="360" w:hanging="360"/>
      </w:pPr>
      <w:rPr>
        <w:rFonts w:hint="default" w:ascii="Times New Roman" w:hAnsi="Times New Roman" w:eastAsia="宋体" w:cs="Times New Roman"/>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2465D35"/>
    <w:multiLevelType w:val="multilevel"/>
    <w:tmpl w:val="32465D35"/>
    <w:lvl w:ilvl="0" w:tentative="0">
      <w:start w:val="1"/>
      <w:numFmt w:val="decimal"/>
      <w:lvlText w:val="%1."/>
      <w:lvlJc w:val="left"/>
      <w:pPr>
        <w:ind w:left="360" w:hanging="360"/>
      </w:pPr>
      <w:rPr>
        <w:rFonts w:hint="default" w:ascii="Times New Roman" w:hAnsi="Times New Roman"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FC8BDE0"/>
    <w:multiLevelType w:val="multilevel"/>
    <w:tmpl w:val="3FC8BDE0"/>
    <w:lvl w:ilvl="0" w:tentative="0">
      <w:start w:val="1"/>
      <w:numFmt w:val="decimal"/>
      <w:lvlText w:val="%1."/>
      <w:lvlJc w:val="left"/>
      <w:pPr>
        <w:ind w:left="360" w:hanging="360"/>
      </w:pPr>
      <w:rPr>
        <w:rFonts w:hint="default" w:ascii="Times New Roman" w:hAnsi="Times New Roman" w:eastAsia="宋体" w:cs="Times New Roman"/>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300E609"/>
    <w:multiLevelType w:val="multilevel"/>
    <w:tmpl w:val="4300E609"/>
    <w:lvl w:ilvl="0" w:tentative="0">
      <w:start w:val="1"/>
      <w:numFmt w:val="decimal"/>
      <w:lvlText w:val="%1."/>
      <w:lvlJc w:val="left"/>
      <w:pPr>
        <w:ind w:left="720" w:hanging="7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54AF8CB"/>
    <w:multiLevelType w:val="multilevel"/>
    <w:tmpl w:val="454AF8CB"/>
    <w:lvl w:ilvl="0" w:tentative="0">
      <w:start w:val="1"/>
      <w:numFmt w:val="decimal"/>
      <w:lvlText w:val="%1."/>
      <w:lvlJc w:val="left"/>
      <w:pPr>
        <w:ind w:left="360" w:hanging="360"/>
      </w:pPr>
      <w:rPr>
        <w:rFonts w:hint="default" w:ascii="Times New Roman" w:hAnsi="Times New Roman" w:eastAsia="宋体" w:cs="Times New Roman"/>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7A74EBE"/>
    <w:multiLevelType w:val="multilevel"/>
    <w:tmpl w:val="47A74EBE"/>
    <w:lvl w:ilvl="0" w:tentative="0">
      <w:start w:val="1"/>
      <w:numFmt w:val="decimal"/>
      <w:lvlText w:val="%1."/>
      <w:lvlJc w:val="left"/>
      <w:pPr>
        <w:ind w:left="360" w:hanging="360"/>
      </w:pPr>
      <w:rPr>
        <w:rFonts w:hint="default" w:ascii="Times New Roman" w:hAnsi="Times New Roman" w:eastAsia="宋体" w:cs="Times New Roman"/>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FABCA49"/>
    <w:multiLevelType w:val="multilevel"/>
    <w:tmpl w:val="4FABCA49"/>
    <w:lvl w:ilvl="0" w:tentative="0">
      <w:start w:val="1"/>
      <w:numFmt w:val="decimal"/>
      <w:lvlText w:val="%1."/>
      <w:lvlJc w:val="left"/>
      <w:pPr>
        <w:ind w:left="420" w:hanging="420"/>
      </w:pPr>
      <w:rPr>
        <w:rFonts w:hint="default" w:ascii="Times New Roman" w:hAnsi="Times New Roman"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967201C"/>
    <w:multiLevelType w:val="multilevel"/>
    <w:tmpl w:val="5967201C"/>
    <w:lvl w:ilvl="0" w:tentative="0">
      <w:start w:val="1"/>
      <w:numFmt w:val="decimal"/>
      <w:lvlText w:val="%1."/>
      <w:lvlJc w:val="left"/>
      <w:pPr>
        <w:ind w:left="420" w:hanging="420"/>
      </w:pPr>
      <w:rPr>
        <w:rFonts w:hint="default" w:ascii="Times New Roman" w:hAnsi="Times New Roman"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1323D62"/>
    <w:multiLevelType w:val="singleLevel"/>
    <w:tmpl w:val="61323D62"/>
    <w:lvl w:ilvl="0" w:tentative="0">
      <w:start w:val="1"/>
      <w:numFmt w:val="chineseCounting"/>
      <w:suff w:val="nothing"/>
      <w:lvlText w:val="%1、"/>
      <w:lvlJc w:val="left"/>
      <w:pPr>
        <w:tabs>
          <w:tab w:val="left" w:pos="0"/>
        </w:tabs>
      </w:pPr>
      <w:rPr>
        <w:rFonts w:hint="eastAsia"/>
      </w:rPr>
    </w:lvl>
  </w:abstractNum>
  <w:abstractNum w:abstractNumId="21">
    <w:nsid w:val="64BCE207"/>
    <w:multiLevelType w:val="multilevel"/>
    <w:tmpl w:val="64BCE207"/>
    <w:lvl w:ilvl="0" w:tentative="0">
      <w:start w:val="1"/>
      <w:numFmt w:val="decimal"/>
      <w:lvlText w:val="%1."/>
      <w:lvlJc w:val="left"/>
      <w:pPr>
        <w:ind w:left="360" w:hanging="360"/>
      </w:pPr>
      <w:rPr>
        <w:rFonts w:hint="default" w:ascii="Times New Roman" w:hAnsi="Times New Roman" w:eastAsia="宋体" w:cs="Times New Roman"/>
        <w:color w:val="000000" w:themeColor="text1"/>
        <w:sz w:val="24"/>
        <w:szCs w:val="24"/>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3A7141A"/>
    <w:multiLevelType w:val="multilevel"/>
    <w:tmpl w:val="73A7141A"/>
    <w:lvl w:ilvl="0" w:tentative="0">
      <w:start w:val="1"/>
      <w:numFmt w:val="decimal"/>
      <w:lvlText w:val="%1."/>
      <w:lvlJc w:val="left"/>
      <w:pPr>
        <w:ind w:left="360" w:hanging="360"/>
      </w:pPr>
      <w:rPr>
        <w:rFonts w:hint="default" w:ascii="Times New Roman" w:hAnsi="Times New Roman" w:eastAsia="宋体" w:cs="Times New Roman"/>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7B06BD5"/>
    <w:multiLevelType w:val="multilevel"/>
    <w:tmpl w:val="77B06BD5"/>
    <w:lvl w:ilvl="0" w:tentative="0">
      <w:start w:val="1"/>
      <w:numFmt w:val="decimal"/>
      <w:lvlText w:val="%1."/>
      <w:lvlJc w:val="left"/>
      <w:pPr>
        <w:ind w:left="420" w:hanging="420"/>
      </w:pPr>
      <w:rPr>
        <w:rFonts w:hint="default" w:ascii="Times New Roman" w:hAnsi="Times New Roman"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6"/>
  </w:num>
  <w:num w:numId="3">
    <w:abstractNumId w:val="13"/>
  </w:num>
  <w:num w:numId="4">
    <w:abstractNumId w:val="5"/>
  </w:num>
  <w:num w:numId="5">
    <w:abstractNumId w:val="0"/>
  </w:num>
  <w:num w:numId="6">
    <w:abstractNumId w:val="17"/>
  </w:num>
  <w:num w:numId="7">
    <w:abstractNumId w:val="8"/>
  </w:num>
  <w:num w:numId="8">
    <w:abstractNumId w:val="22"/>
  </w:num>
  <w:num w:numId="9">
    <w:abstractNumId w:val="1"/>
  </w:num>
  <w:num w:numId="10">
    <w:abstractNumId w:val="12"/>
  </w:num>
  <w:num w:numId="11">
    <w:abstractNumId w:val="2"/>
  </w:num>
  <w:num w:numId="12">
    <w:abstractNumId w:val="14"/>
  </w:num>
  <w:num w:numId="13">
    <w:abstractNumId w:val="9"/>
  </w:num>
  <w:num w:numId="14">
    <w:abstractNumId w:val="16"/>
  </w:num>
  <w:num w:numId="15">
    <w:abstractNumId w:val="4"/>
  </w:num>
  <w:num w:numId="16">
    <w:abstractNumId w:val="11"/>
  </w:num>
  <w:num w:numId="17">
    <w:abstractNumId w:val="23"/>
  </w:num>
  <w:num w:numId="18">
    <w:abstractNumId w:val="21"/>
  </w:num>
  <w:num w:numId="19">
    <w:abstractNumId w:val="3"/>
  </w:num>
  <w:num w:numId="20">
    <w:abstractNumId w:val="18"/>
  </w:num>
  <w:num w:numId="21">
    <w:abstractNumId w:val="19"/>
  </w:num>
  <w:num w:numId="22">
    <w:abstractNumId w:val="7"/>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90507"/>
    <w:rsid w:val="00427A9E"/>
    <w:rsid w:val="00D552F6"/>
    <w:rsid w:val="01751115"/>
    <w:rsid w:val="09633CE1"/>
    <w:rsid w:val="09E92C6E"/>
    <w:rsid w:val="0ADC1C10"/>
    <w:rsid w:val="12122244"/>
    <w:rsid w:val="170E44C0"/>
    <w:rsid w:val="18343D90"/>
    <w:rsid w:val="1D213E4A"/>
    <w:rsid w:val="1EE56E13"/>
    <w:rsid w:val="26890507"/>
    <w:rsid w:val="28D337E3"/>
    <w:rsid w:val="2AD17B24"/>
    <w:rsid w:val="30976622"/>
    <w:rsid w:val="30BF2615"/>
    <w:rsid w:val="33A32A92"/>
    <w:rsid w:val="367E2EF6"/>
    <w:rsid w:val="3CA975EC"/>
    <w:rsid w:val="3E415237"/>
    <w:rsid w:val="41F84A25"/>
    <w:rsid w:val="420D1211"/>
    <w:rsid w:val="42DA3A6E"/>
    <w:rsid w:val="44FF1500"/>
    <w:rsid w:val="45785534"/>
    <w:rsid w:val="478878D8"/>
    <w:rsid w:val="49A55F5C"/>
    <w:rsid w:val="4ADB2B36"/>
    <w:rsid w:val="4F767CE2"/>
    <w:rsid w:val="4F9D54D4"/>
    <w:rsid w:val="529D45A8"/>
    <w:rsid w:val="535A18E3"/>
    <w:rsid w:val="538D23DE"/>
    <w:rsid w:val="54181B61"/>
    <w:rsid w:val="55CA60B3"/>
    <w:rsid w:val="5A085243"/>
    <w:rsid w:val="5A1C2848"/>
    <w:rsid w:val="62D766B1"/>
    <w:rsid w:val="6CC517BC"/>
    <w:rsid w:val="6FA152F0"/>
    <w:rsid w:val="7D93660D"/>
    <w:rsid w:val="7E46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楷体_GB2312" w:hAnsi="楷体_GB2312" w:eastAsia="等线" w:cs="楷体_GB2312"/>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Noto Sans CJK JP Regular" w:hAnsi="Noto Sans CJK JP Regular" w:eastAsia="Times New Roman" w:cs="Noto Sans CJK JP Regular"/>
      <w:kern w:val="0"/>
      <w:sz w:val="24"/>
      <w:lang w:val="zh-CN"/>
    </w:rPr>
  </w:style>
  <w:style w:type="table" w:styleId="4">
    <w:name w:val="Table Grid"/>
    <w:basedOn w:val="3"/>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列表段落1"/>
    <w:basedOn w:val="1"/>
    <w:qFormat/>
    <w:uiPriority w:val="34"/>
    <w:pPr>
      <w:ind w:firstLine="420" w:firstLineChars="200"/>
    </w:p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1152</Words>
  <Characters>6573</Characters>
  <Lines>54</Lines>
  <Paragraphs>15</Paragraphs>
  <TotalTime>945</TotalTime>
  <ScaleCrop>false</ScaleCrop>
  <LinksUpToDate>false</LinksUpToDate>
  <CharactersWithSpaces>7710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2022-02-15T00:43:00Z</dcterms:created>
  <dc:creator>Administrator</dc:creator>
  <cp:lastModifiedBy>Administrator</cp:lastModifiedBy>
  <cp:lastPrinted>2022-02-16T03:34:50Z</cp:lastPrinted>
  <dcterms:modified xsi:type="dcterms:W3CDTF">2022-02-17T00:36:23Z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